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1" w:rsidRPr="006900AE" w:rsidRDefault="00740EEB" w:rsidP="00D0497D">
      <w:pPr>
        <w:spacing w:line="360" w:lineRule="auto"/>
        <w:jc w:val="center"/>
        <w:rPr>
          <w:b/>
        </w:rPr>
      </w:pPr>
      <w:r w:rsidRPr="006900AE">
        <w:rPr>
          <w:b/>
        </w:rPr>
        <w:t xml:space="preserve">MATERIAŁY DO NAUKI </w:t>
      </w:r>
      <w:r w:rsidR="007806D2" w:rsidRPr="006900AE">
        <w:rPr>
          <w:b/>
        </w:rPr>
        <w:t xml:space="preserve">PODSTAW </w:t>
      </w:r>
      <w:r w:rsidR="000F58A2" w:rsidRPr="006900AE">
        <w:rPr>
          <w:b/>
        </w:rPr>
        <w:t>PRA</w:t>
      </w:r>
      <w:r w:rsidRPr="006900AE">
        <w:rPr>
          <w:b/>
        </w:rPr>
        <w:t>WA</w:t>
      </w:r>
      <w:r w:rsidR="000F58A2" w:rsidRPr="006900AE">
        <w:rPr>
          <w:b/>
        </w:rPr>
        <w:t xml:space="preserve"> UNII EUROPEJSKIEJ</w:t>
      </w:r>
      <w:r w:rsidRPr="006900AE">
        <w:rPr>
          <w:b/>
        </w:rPr>
        <w:t xml:space="preserve"> - LISTA ZAGADNIEŃ</w:t>
      </w:r>
      <w:r w:rsidR="007806D2" w:rsidRPr="006900AE">
        <w:rPr>
          <w:b/>
        </w:rPr>
        <w:t xml:space="preserve"> I </w:t>
      </w:r>
      <w:r w:rsidR="001A3FB4" w:rsidRPr="006900AE">
        <w:rPr>
          <w:b/>
        </w:rPr>
        <w:t>ORZECZEŃ</w:t>
      </w:r>
      <w:r w:rsidR="00D73F73">
        <w:rPr>
          <w:b/>
        </w:rPr>
        <w:t xml:space="preserve"> ORAZ WYKAZ LITERATURY</w:t>
      </w:r>
    </w:p>
    <w:p w:rsidR="000F58A2" w:rsidRPr="006900AE" w:rsidRDefault="00DE2FC0" w:rsidP="00D0497D">
      <w:pPr>
        <w:spacing w:line="360" w:lineRule="auto"/>
        <w:jc w:val="center"/>
        <w:rPr>
          <w:b/>
        </w:rPr>
      </w:pPr>
      <w:r>
        <w:rPr>
          <w:b/>
        </w:rPr>
        <w:t>Rok akademicki 2021/2022</w:t>
      </w:r>
    </w:p>
    <w:p w:rsidR="004411D8" w:rsidRPr="006900AE" w:rsidRDefault="004411D8" w:rsidP="00D0497D">
      <w:pPr>
        <w:spacing w:line="360" w:lineRule="auto"/>
        <w:jc w:val="center"/>
        <w:rPr>
          <w:b/>
        </w:rPr>
      </w:pPr>
      <w:r w:rsidRPr="006900AE">
        <w:rPr>
          <w:b/>
        </w:rPr>
        <w:t>Katedra Prawa Europejskiego</w:t>
      </w:r>
    </w:p>
    <w:p w:rsidR="004411D8" w:rsidRPr="006900AE" w:rsidRDefault="004411D8" w:rsidP="00D0497D">
      <w:pPr>
        <w:spacing w:line="360" w:lineRule="auto"/>
        <w:jc w:val="center"/>
        <w:rPr>
          <w:b/>
        </w:rPr>
      </w:pPr>
    </w:p>
    <w:p w:rsidR="00EA4406" w:rsidRPr="006900AE" w:rsidRDefault="00EA4406" w:rsidP="004411D8">
      <w:pPr>
        <w:spacing w:line="360" w:lineRule="auto"/>
        <w:rPr>
          <w:b/>
        </w:rPr>
      </w:pPr>
    </w:p>
    <w:p w:rsidR="004411D8" w:rsidRPr="006900AE" w:rsidRDefault="004411D8" w:rsidP="004411D8">
      <w:pPr>
        <w:spacing w:line="360" w:lineRule="auto"/>
        <w:rPr>
          <w:b/>
          <w:u w:val="single"/>
        </w:rPr>
      </w:pPr>
      <w:r w:rsidRPr="006900AE">
        <w:rPr>
          <w:b/>
          <w:u w:val="single"/>
        </w:rPr>
        <w:t>LISTA ZAGADNIEŃ NA EGZAMIN Z PODSTAW PRAWA UNII EUROPEJSKIEJ</w:t>
      </w:r>
    </w:p>
    <w:p w:rsidR="00E10D08" w:rsidRPr="006900AE" w:rsidRDefault="00E10D08" w:rsidP="00D0497D">
      <w:pPr>
        <w:spacing w:line="360" w:lineRule="auto"/>
        <w:jc w:val="center"/>
        <w:rPr>
          <w:b/>
        </w:rPr>
      </w:pPr>
    </w:p>
    <w:p w:rsidR="00195066" w:rsidRDefault="007806D2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C</w:t>
      </w:r>
      <w:r w:rsidR="00E10D08" w:rsidRPr="006900AE">
        <w:t>har</w:t>
      </w:r>
      <w:r w:rsidRPr="006900AE">
        <w:t>akter prawny Unii Europejskiej.</w:t>
      </w:r>
    </w:p>
    <w:p w:rsidR="00106E99" w:rsidRPr="006900AE" w:rsidRDefault="00106E99" w:rsidP="00917A9B">
      <w:pPr>
        <w:pStyle w:val="Akapitzlist"/>
        <w:numPr>
          <w:ilvl w:val="0"/>
          <w:numId w:val="5"/>
        </w:numPr>
        <w:spacing w:after="120" w:line="360" w:lineRule="auto"/>
      </w:pPr>
      <w:r>
        <w:t>Główne etapy rozwoju integracji w ramach Wspólnot i Unii.</w:t>
      </w:r>
    </w:p>
    <w:p w:rsidR="002B3102" w:rsidRPr="006900AE" w:rsidRDefault="00D10FBA" w:rsidP="00917A9B">
      <w:pPr>
        <w:pStyle w:val="Akapitzlist"/>
        <w:numPr>
          <w:ilvl w:val="0"/>
          <w:numId w:val="5"/>
        </w:numPr>
        <w:spacing w:after="120" w:line="360" w:lineRule="auto"/>
      </w:pPr>
      <w:r>
        <w:t>Wartości UE (art. 2 TUE).</w:t>
      </w:r>
    </w:p>
    <w:p w:rsidR="005D393D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Ochrona praworządności w UE.</w:t>
      </w:r>
      <w:r w:rsidR="00512843" w:rsidRPr="006900AE">
        <w:t xml:space="preserve"> Procedura </w:t>
      </w:r>
      <w:r w:rsidR="00106E99">
        <w:t xml:space="preserve">z </w:t>
      </w:r>
      <w:r w:rsidR="00512843" w:rsidRPr="006900AE">
        <w:t>art. 7 TUE.</w:t>
      </w:r>
    </w:p>
    <w:p w:rsidR="000D6449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C</w:t>
      </w:r>
      <w:r w:rsidR="000D6449" w:rsidRPr="006900AE">
        <w:t>ele Unii Europejskiej.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Autonomia prawa unijnego.</w:t>
      </w:r>
    </w:p>
    <w:p w:rsidR="00E10D08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P</w:t>
      </w:r>
      <w:r w:rsidR="00E10D08" w:rsidRPr="006900AE">
        <w:t>odział kompetencji pomiędzy Unię Europejską a państwa członkowskie.</w:t>
      </w:r>
    </w:p>
    <w:p w:rsidR="001A3FB4" w:rsidRPr="006900AE" w:rsidRDefault="001A3FB4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Zakres zastosowania prawa unijnego.</w:t>
      </w:r>
    </w:p>
    <w:p w:rsidR="002B3102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</w:t>
      </w:r>
      <w:r w:rsidR="001A3FB4" w:rsidRPr="006900AE">
        <w:t>asada</w:t>
      </w:r>
      <w:r w:rsidR="003E72A2" w:rsidRPr="006900AE">
        <w:t xml:space="preserve"> </w:t>
      </w:r>
      <w:r w:rsidR="002B3102" w:rsidRPr="006900AE">
        <w:t>przyznania.</w:t>
      </w:r>
    </w:p>
    <w:p w:rsidR="002B3102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</w:t>
      </w:r>
      <w:r w:rsidR="002B3102" w:rsidRPr="006900AE">
        <w:t>asad</w:t>
      </w:r>
      <w:r w:rsidRPr="006900AE">
        <w:t>a</w:t>
      </w:r>
      <w:r w:rsidR="002B3102" w:rsidRPr="006900AE">
        <w:t xml:space="preserve"> zajętego pola.</w:t>
      </w:r>
    </w:p>
    <w:p w:rsidR="002B3102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Zasada</w:t>
      </w:r>
      <w:r w:rsidR="002B3102" w:rsidRPr="006900AE">
        <w:t xml:space="preserve"> </w:t>
      </w:r>
      <w:r w:rsidR="003E72A2" w:rsidRPr="006900AE">
        <w:t>pomocniczości</w:t>
      </w:r>
      <w:r w:rsidR="002B3102" w:rsidRPr="006900AE">
        <w:t>.</w:t>
      </w:r>
    </w:p>
    <w:p w:rsidR="002B3102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</w:t>
      </w:r>
      <w:r w:rsidR="002B3102" w:rsidRPr="006900AE">
        <w:t>asadę proporcjonalności.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Procedur</w:t>
      </w:r>
      <w:r w:rsidR="006900AE">
        <w:t>a i warunki</w:t>
      </w:r>
      <w:r w:rsidRPr="006900AE">
        <w:t xml:space="preserve"> </w:t>
      </w:r>
      <w:r w:rsidR="006900AE">
        <w:t>akcesji</w:t>
      </w:r>
      <w:r w:rsidRPr="006900AE">
        <w:t xml:space="preserve"> do UE.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Procedura wystąpienia z UE.</w:t>
      </w:r>
    </w:p>
    <w:p w:rsidR="005D393D" w:rsidRPr="006900AE" w:rsidRDefault="00E275EF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Instytucje UE i ich kompetencje, ze szczególnym uwzględnieniem kompetencji do tworzenia prawa.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Zasada równowagi instytucjonalnej.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Źródła prawa pierwotnego i ich charakterystyka.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Źródła prawa pochodnego i ich charakterystyka.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 xml:space="preserve">Akty ustawodawcze i akty </w:t>
      </w:r>
      <w:proofErr w:type="spellStart"/>
      <w:r w:rsidRPr="006900AE">
        <w:t>nieustawodawcze</w:t>
      </w:r>
      <w:proofErr w:type="spellEnd"/>
      <w:r w:rsidRPr="006900AE">
        <w:t>.</w:t>
      </w:r>
    </w:p>
    <w:p w:rsidR="003F711D" w:rsidRPr="006900AE" w:rsidRDefault="003F711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Obowiązki państwa członkowskiego wynikające z transpozycji dyrektywy do prawa krajowego.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Obywatelstwo UE.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Zasada niedyskryminacji.</w:t>
      </w:r>
    </w:p>
    <w:p w:rsidR="005D393D" w:rsidRPr="006900AE" w:rsidRDefault="004411D8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Ochrona praw podstawowych w UE (rozwój, płaszczyzny ochrony, Karta praw podstawowych UE).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lastRenderedPageBreak/>
        <w:t xml:space="preserve">Zasada pierwszeństwa. </w:t>
      </w:r>
    </w:p>
    <w:p w:rsidR="005D393D" w:rsidRPr="006900AE" w:rsidRDefault="005D393D" w:rsidP="005D393D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 xml:space="preserve">Zasada skutku bezpośredniego. 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Skutek bezpośredni poszczególnych norm prawa UE.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Sądy krajowe jako sądy unijne.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Zasada skuteczności.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Zasada skutecznej ochrony sądowej.</w:t>
      </w:r>
    </w:p>
    <w:p w:rsidR="005D393D" w:rsidRPr="006900AE" w:rsidRDefault="005D393D" w:rsidP="000D6449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6900AE">
        <w:t>Emanacja państwa.</w:t>
      </w:r>
    </w:p>
    <w:p w:rsidR="005D393D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Zasada skutku pośredniego (</w:t>
      </w:r>
      <w:proofErr w:type="spellStart"/>
      <w:r w:rsidRPr="006900AE">
        <w:t>prounijnej</w:t>
      </w:r>
      <w:proofErr w:type="spellEnd"/>
      <w:r w:rsidRPr="006900AE">
        <w:t xml:space="preserve"> wykładni prawa krajowego).</w:t>
      </w:r>
    </w:p>
    <w:p w:rsidR="005D393D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Zasada odpowiedzialności odszkodowawczej państwa członkowskiego.</w:t>
      </w:r>
    </w:p>
    <w:p w:rsidR="005D393D" w:rsidRPr="006900AE" w:rsidRDefault="005D393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Zasada autonomii proceduralnej i jej ograniczenia.</w:t>
      </w:r>
    </w:p>
    <w:p w:rsidR="00E275EF" w:rsidRPr="006900AE" w:rsidRDefault="00E275EF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Skład i kompetencje Trybunału Sprawiedliwości UE</w:t>
      </w:r>
      <w:r w:rsidR="00CF1DB0">
        <w:t xml:space="preserve"> (TSUE)</w:t>
      </w:r>
      <w:r w:rsidRPr="006900AE">
        <w:t>.</w:t>
      </w:r>
    </w:p>
    <w:p w:rsidR="00512843" w:rsidRPr="006900AE" w:rsidRDefault="004411D8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 xml:space="preserve">Rola TSUE w kształtowaniu porządku prawnego UE. </w:t>
      </w:r>
      <w:r w:rsidR="00512843" w:rsidRPr="006900AE">
        <w:t>Moc wiążąca wyroków TSUE.</w:t>
      </w:r>
    </w:p>
    <w:p w:rsidR="00E275EF" w:rsidRPr="006900AE" w:rsidRDefault="00E275EF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Postępowanie prejudycjalne.</w:t>
      </w:r>
    </w:p>
    <w:p w:rsidR="00E275EF" w:rsidRPr="006900AE" w:rsidRDefault="00E275EF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 xml:space="preserve">Prawo i obowiązek zadania pytania </w:t>
      </w:r>
      <w:r w:rsidR="00512843" w:rsidRPr="006900AE">
        <w:t xml:space="preserve">prejudycjalnego. </w:t>
      </w:r>
    </w:p>
    <w:p w:rsidR="00512843" w:rsidRPr="006900AE" w:rsidRDefault="00512843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Pojęcie sądu krajowego w rozumieniu art. 267 TFUE.</w:t>
      </w:r>
    </w:p>
    <w:p w:rsidR="00512843" w:rsidRPr="006900AE" w:rsidRDefault="00512843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Skarga przeciwko państwu członkowskiemu (art. 258 TFUE).</w:t>
      </w:r>
    </w:p>
    <w:p w:rsidR="00E275EF" w:rsidRPr="006900AE" w:rsidRDefault="00E275EF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Skarga o stwierdzenie nieważności aktu unijnego</w:t>
      </w:r>
      <w:r w:rsidR="001A3FB4" w:rsidRPr="006900AE">
        <w:t xml:space="preserve">, ze szczególnym uwzględnieniem kwestii </w:t>
      </w:r>
      <w:proofErr w:type="spellStart"/>
      <w:r w:rsidR="001A3FB4" w:rsidRPr="006900AE">
        <w:rPr>
          <w:i/>
        </w:rPr>
        <w:t>locus</w:t>
      </w:r>
      <w:proofErr w:type="spellEnd"/>
      <w:r w:rsidR="001A3FB4" w:rsidRPr="006900AE">
        <w:rPr>
          <w:i/>
        </w:rPr>
        <w:t xml:space="preserve"> </w:t>
      </w:r>
      <w:proofErr w:type="spellStart"/>
      <w:r w:rsidR="001A3FB4" w:rsidRPr="006900AE">
        <w:rPr>
          <w:i/>
        </w:rPr>
        <w:t>standi</w:t>
      </w:r>
      <w:proofErr w:type="spellEnd"/>
      <w:r w:rsidR="001A3FB4" w:rsidRPr="006900AE">
        <w:t>.</w:t>
      </w:r>
    </w:p>
    <w:p w:rsidR="001A3FB4" w:rsidRPr="006900AE" w:rsidRDefault="001A3FB4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Skarga na bezczynność instytucji.</w:t>
      </w:r>
    </w:p>
    <w:p w:rsidR="001A3FB4" w:rsidRPr="006900AE" w:rsidRDefault="001A3FB4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Skarga odszkodowawcza przeciwko UE.</w:t>
      </w:r>
    </w:p>
    <w:p w:rsidR="003F711D" w:rsidRPr="006900AE" w:rsidRDefault="003F711D" w:rsidP="00917A9B">
      <w:pPr>
        <w:pStyle w:val="Akapitzlist"/>
        <w:numPr>
          <w:ilvl w:val="0"/>
          <w:numId w:val="5"/>
        </w:numPr>
        <w:spacing w:after="120" w:line="360" w:lineRule="auto"/>
      </w:pPr>
      <w:r w:rsidRPr="006900AE">
        <w:t>Charakterystyka Wspólnej Polityki Zagranicznej i Bezpieczeństwa.</w:t>
      </w:r>
      <w:r w:rsidR="001A3FB4" w:rsidRPr="006900AE">
        <w:t xml:space="preserve"> Kompetencje instytucji w tej dziedzinie.</w:t>
      </w:r>
    </w:p>
    <w:p w:rsidR="004411D8" w:rsidRPr="00D62B5B" w:rsidRDefault="005D393D" w:rsidP="004411D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u w:val="single"/>
        </w:rPr>
      </w:pPr>
      <w:r w:rsidRPr="00D62B5B">
        <w:t>Relacja</w:t>
      </w:r>
      <w:r w:rsidR="003E72A2" w:rsidRPr="00D62B5B">
        <w:t xml:space="preserve"> prawa</w:t>
      </w:r>
      <w:r w:rsidRPr="00D62B5B">
        <w:t xml:space="preserve"> UE do prawa</w:t>
      </w:r>
      <w:r w:rsidR="003E72A2" w:rsidRPr="00D62B5B">
        <w:t xml:space="preserve"> międzynaro</w:t>
      </w:r>
      <w:r w:rsidRPr="00D62B5B">
        <w:t>dowego</w:t>
      </w:r>
      <w:r w:rsidR="002B3102" w:rsidRPr="00D62B5B">
        <w:t>.</w:t>
      </w:r>
    </w:p>
    <w:p w:rsidR="004411D8" w:rsidRPr="006900AE" w:rsidRDefault="004411D8" w:rsidP="004411D8">
      <w:pPr>
        <w:spacing w:line="360" w:lineRule="auto"/>
        <w:rPr>
          <w:b/>
          <w:u w:val="single"/>
        </w:rPr>
      </w:pPr>
    </w:p>
    <w:p w:rsidR="004411D8" w:rsidRPr="006900AE" w:rsidRDefault="004411D8" w:rsidP="004411D8">
      <w:pPr>
        <w:spacing w:line="360" w:lineRule="auto"/>
        <w:rPr>
          <w:b/>
          <w:u w:val="single"/>
        </w:rPr>
      </w:pPr>
    </w:p>
    <w:p w:rsidR="007806D2" w:rsidRPr="006900AE" w:rsidRDefault="00A4206E" w:rsidP="004411D8">
      <w:pPr>
        <w:spacing w:line="360" w:lineRule="auto"/>
        <w:rPr>
          <w:b/>
          <w:u w:val="single"/>
        </w:rPr>
      </w:pPr>
      <w:r w:rsidRPr="006900AE">
        <w:rPr>
          <w:b/>
          <w:u w:val="single"/>
        </w:rPr>
        <w:t xml:space="preserve">ORZECZENIA </w:t>
      </w:r>
      <w:r w:rsidR="004411D8" w:rsidRPr="006900AE">
        <w:rPr>
          <w:b/>
          <w:u w:val="single"/>
        </w:rPr>
        <w:t>NA EGZAMIN Z PODSTAW PRAWA UNII EUROPEJSKIEJ</w:t>
      </w:r>
    </w:p>
    <w:p w:rsidR="001D68DA" w:rsidRPr="006900AE" w:rsidRDefault="001D68DA" w:rsidP="004411D8">
      <w:pPr>
        <w:spacing w:line="360" w:lineRule="auto"/>
      </w:pPr>
    </w:p>
    <w:p w:rsidR="007806D2" w:rsidRPr="00106E99" w:rsidRDefault="003440D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6/64 </w:t>
      </w:r>
      <w:proofErr w:type="spellStart"/>
      <w:r w:rsidRPr="006900AE">
        <w:t>Flaminio</w:t>
      </w:r>
      <w:proofErr w:type="spellEnd"/>
      <w:r w:rsidRPr="006900AE">
        <w:t xml:space="preserve"> </w:t>
      </w:r>
      <w:proofErr w:type="spellStart"/>
      <w:r w:rsidR="007806D2" w:rsidRPr="00106E99">
        <w:rPr>
          <w:b/>
        </w:rPr>
        <w:t>Costa</w:t>
      </w:r>
      <w:proofErr w:type="spellEnd"/>
      <w:r w:rsidR="007806D2" w:rsidRPr="00106E99">
        <w:t xml:space="preserve"> </w:t>
      </w:r>
      <w:r w:rsidRPr="00106E99">
        <w:t>przeciwko</w:t>
      </w:r>
      <w:r w:rsidR="007806D2" w:rsidRPr="00106E99">
        <w:t xml:space="preserve"> E</w:t>
      </w:r>
      <w:r w:rsidRPr="00106E99">
        <w:t>.</w:t>
      </w:r>
      <w:r w:rsidR="007806D2" w:rsidRPr="00106E99">
        <w:t>N</w:t>
      </w:r>
      <w:r w:rsidRPr="00106E99">
        <w:t>.</w:t>
      </w:r>
      <w:r w:rsidR="007806D2" w:rsidRPr="00106E99">
        <w:t>E</w:t>
      </w:r>
      <w:r w:rsidRPr="00106E99">
        <w:t>.</w:t>
      </w:r>
      <w:r w:rsidR="007806D2" w:rsidRPr="00106E99">
        <w:t>L</w:t>
      </w:r>
      <w:r w:rsidRPr="00106E99">
        <w:t>.</w:t>
      </w:r>
    </w:p>
    <w:p w:rsidR="007806D2" w:rsidRPr="006900AE" w:rsidRDefault="003440D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900AE">
        <w:rPr>
          <w:shd w:val="clear" w:color="auto" w:fill="FFFFFF"/>
        </w:rPr>
        <w:t>106/77</w:t>
      </w:r>
      <w:r w:rsidR="001A288E" w:rsidRPr="006900AE">
        <w:rPr>
          <w:bCs/>
        </w:rPr>
        <w:t xml:space="preserve">Amministrazione </w:t>
      </w:r>
      <w:proofErr w:type="spellStart"/>
      <w:r w:rsidR="001A288E" w:rsidRPr="006900AE">
        <w:rPr>
          <w:bCs/>
        </w:rPr>
        <w:t>delle</w:t>
      </w:r>
      <w:proofErr w:type="spellEnd"/>
      <w:r w:rsidR="001A288E" w:rsidRPr="006900AE">
        <w:rPr>
          <w:bCs/>
        </w:rPr>
        <w:t xml:space="preserve"> </w:t>
      </w:r>
      <w:proofErr w:type="spellStart"/>
      <w:r w:rsidR="001A288E" w:rsidRPr="006900AE">
        <w:rPr>
          <w:bCs/>
        </w:rPr>
        <w:t>Finanze</w:t>
      </w:r>
      <w:proofErr w:type="spellEnd"/>
      <w:r w:rsidR="001A288E" w:rsidRPr="006900AE">
        <w:rPr>
          <w:bCs/>
        </w:rPr>
        <w:t xml:space="preserve"> </w:t>
      </w:r>
      <w:proofErr w:type="spellStart"/>
      <w:r w:rsidR="001A288E" w:rsidRPr="006900AE">
        <w:rPr>
          <w:bCs/>
        </w:rPr>
        <w:t>dello</w:t>
      </w:r>
      <w:proofErr w:type="spellEnd"/>
      <w:r w:rsidR="001A288E" w:rsidRPr="006900AE">
        <w:rPr>
          <w:bCs/>
        </w:rPr>
        <w:t xml:space="preserve"> </w:t>
      </w:r>
      <w:proofErr w:type="spellStart"/>
      <w:r w:rsidR="001A288E" w:rsidRPr="006900AE">
        <w:rPr>
          <w:bCs/>
        </w:rPr>
        <w:t>Stato</w:t>
      </w:r>
      <w:proofErr w:type="spellEnd"/>
      <w:r w:rsidR="001A288E" w:rsidRPr="006900AE">
        <w:rPr>
          <w:bCs/>
        </w:rPr>
        <w:t xml:space="preserve"> przeciwko</w:t>
      </w:r>
      <w:r w:rsidRPr="006900AE">
        <w:rPr>
          <w:shd w:val="clear" w:color="auto" w:fill="FFFFFF"/>
        </w:rPr>
        <w:t xml:space="preserve"> </w:t>
      </w:r>
      <w:proofErr w:type="spellStart"/>
      <w:r w:rsidR="007806D2" w:rsidRPr="006900AE">
        <w:rPr>
          <w:b/>
          <w:lang w:val="en-GB"/>
        </w:rPr>
        <w:t>Simmenthal</w:t>
      </w:r>
      <w:proofErr w:type="spellEnd"/>
      <w:r w:rsidR="001A288E" w:rsidRPr="006900AE">
        <w:rPr>
          <w:lang w:val="en-GB"/>
        </w:rPr>
        <w:t xml:space="preserve"> </w:t>
      </w:r>
      <w:proofErr w:type="spellStart"/>
      <w:r w:rsidR="001A288E" w:rsidRPr="006900AE">
        <w:rPr>
          <w:lang w:val="en-GB"/>
        </w:rPr>
        <w:t>SpA</w:t>
      </w:r>
      <w:proofErr w:type="spellEnd"/>
    </w:p>
    <w:p w:rsidR="00FA010A" w:rsidRPr="006900AE" w:rsidRDefault="003440D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900AE">
        <w:rPr>
          <w:lang w:val="en-GB"/>
        </w:rPr>
        <w:t xml:space="preserve">26/69 </w:t>
      </w:r>
      <w:proofErr w:type="spellStart"/>
      <w:r w:rsidR="00FA010A" w:rsidRPr="006900AE">
        <w:rPr>
          <w:b/>
          <w:lang w:val="en-GB"/>
        </w:rPr>
        <w:t>Stauder</w:t>
      </w:r>
      <w:proofErr w:type="spellEnd"/>
      <w:r w:rsidR="001A288E" w:rsidRPr="006900AE">
        <w:rPr>
          <w:lang w:val="en-GB"/>
        </w:rPr>
        <w:t xml:space="preserve"> </w:t>
      </w:r>
      <w:r w:rsidR="001A288E" w:rsidRPr="006900AE">
        <w:rPr>
          <w:shd w:val="clear" w:color="auto" w:fill="FFFFFF"/>
        </w:rPr>
        <w:t>przeciwko miastu Ulm</w:t>
      </w:r>
    </w:p>
    <w:p w:rsidR="007806D2" w:rsidRPr="006900AE" w:rsidRDefault="003440D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900AE">
        <w:rPr>
          <w:lang w:val="en-GB"/>
        </w:rPr>
        <w:t xml:space="preserve">11/70 </w:t>
      </w:r>
      <w:proofErr w:type="spellStart"/>
      <w:r w:rsidR="007806D2" w:rsidRPr="006900AE">
        <w:rPr>
          <w:b/>
          <w:lang w:val="en-GB"/>
        </w:rPr>
        <w:t>Internationale</w:t>
      </w:r>
      <w:proofErr w:type="spellEnd"/>
      <w:r w:rsidR="00BC4B24" w:rsidRPr="006900AE">
        <w:rPr>
          <w:b/>
          <w:lang w:val="en-GB"/>
        </w:rPr>
        <w:t xml:space="preserve"> </w:t>
      </w:r>
      <w:proofErr w:type="spellStart"/>
      <w:r w:rsidR="001A288E" w:rsidRPr="00106E99">
        <w:rPr>
          <w:b/>
          <w:shd w:val="clear" w:color="auto" w:fill="FFFFFF"/>
          <w:lang w:val="en-GB"/>
        </w:rPr>
        <w:t>Handelsgesellschaft</w:t>
      </w:r>
      <w:proofErr w:type="spellEnd"/>
      <w:r w:rsidR="001A288E" w:rsidRPr="00106E99">
        <w:rPr>
          <w:shd w:val="clear" w:color="auto" w:fill="FFFFFF"/>
          <w:lang w:val="en-GB"/>
        </w:rPr>
        <w:t xml:space="preserve"> </w:t>
      </w:r>
      <w:proofErr w:type="spellStart"/>
      <w:r w:rsidR="001A288E" w:rsidRPr="00106E99">
        <w:rPr>
          <w:shd w:val="clear" w:color="auto" w:fill="FFFFFF"/>
          <w:lang w:val="en-GB"/>
        </w:rPr>
        <w:t>mbH</w:t>
      </w:r>
      <w:proofErr w:type="spellEnd"/>
      <w:r w:rsidR="001A288E" w:rsidRPr="00106E99">
        <w:rPr>
          <w:shd w:val="clear" w:color="auto" w:fill="FFFFFF"/>
          <w:lang w:val="en-GB"/>
        </w:rPr>
        <w:t xml:space="preserve"> </w:t>
      </w:r>
      <w:proofErr w:type="spellStart"/>
      <w:r w:rsidR="001A288E" w:rsidRPr="00106E99">
        <w:rPr>
          <w:shd w:val="clear" w:color="auto" w:fill="FFFFFF"/>
          <w:lang w:val="en-GB"/>
        </w:rPr>
        <w:t>przeciwko</w:t>
      </w:r>
      <w:proofErr w:type="spellEnd"/>
      <w:r w:rsidR="001A288E" w:rsidRPr="00106E99">
        <w:rPr>
          <w:shd w:val="clear" w:color="auto" w:fill="FFFFFF"/>
          <w:lang w:val="en-GB"/>
        </w:rPr>
        <w:t xml:space="preserve"> </w:t>
      </w:r>
      <w:proofErr w:type="spellStart"/>
      <w:r w:rsidR="001A288E" w:rsidRPr="00106E99">
        <w:rPr>
          <w:shd w:val="clear" w:color="auto" w:fill="FFFFFF"/>
          <w:lang w:val="en-GB"/>
        </w:rPr>
        <w:t>Einfuhr</w:t>
      </w:r>
      <w:proofErr w:type="spellEnd"/>
      <w:r w:rsidR="001A288E" w:rsidRPr="00106E99">
        <w:rPr>
          <w:shd w:val="clear" w:color="auto" w:fill="FFFFFF"/>
          <w:lang w:val="en-GB"/>
        </w:rPr>
        <w:t xml:space="preserve">- und </w:t>
      </w:r>
      <w:proofErr w:type="spellStart"/>
      <w:r w:rsidR="001A288E" w:rsidRPr="00106E99">
        <w:rPr>
          <w:shd w:val="clear" w:color="auto" w:fill="FFFFFF"/>
          <w:lang w:val="en-GB"/>
        </w:rPr>
        <w:t>Vorratsstelle</w:t>
      </w:r>
      <w:proofErr w:type="spellEnd"/>
      <w:r w:rsidR="001A288E" w:rsidRPr="00106E99">
        <w:rPr>
          <w:shd w:val="clear" w:color="auto" w:fill="FFFFFF"/>
          <w:lang w:val="en-GB"/>
        </w:rPr>
        <w:t xml:space="preserve"> </w:t>
      </w:r>
      <w:proofErr w:type="spellStart"/>
      <w:r w:rsidR="001A288E" w:rsidRPr="00106E99">
        <w:rPr>
          <w:shd w:val="clear" w:color="auto" w:fill="FFFFFF"/>
          <w:lang w:val="en-GB"/>
        </w:rPr>
        <w:t>fuer</w:t>
      </w:r>
      <w:proofErr w:type="spellEnd"/>
      <w:r w:rsidR="001A288E" w:rsidRPr="00106E99">
        <w:rPr>
          <w:shd w:val="clear" w:color="auto" w:fill="FFFFFF"/>
          <w:lang w:val="en-GB"/>
        </w:rPr>
        <w:t xml:space="preserve"> </w:t>
      </w:r>
      <w:proofErr w:type="spellStart"/>
      <w:r w:rsidR="001A288E" w:rsidRPr="00106E99">
        <w:rPr>
          <w:shd w:val="clear" w:color="auto" w:fill="FFFFFF"/>
          <w:lang w:val="en-GB"/>
        </w:rPr>
        <w:t>Getreide</w:t>
      </w:r>
      <w:proofErr w:type="spellEnd"/>
      <w:r w:rsidR="001A288E" w:rsidRPr="00106E99">
        <w:rPr>
          <w:shd w:val="clear" w:color="auto" w:fill="FFFFFF"/>
          <w:lang w:val="en-GB"/>
        </w:rPr>
        <w:t xml:space="preserve"> und </w:t>
      </w:r>
      <w:proofErr w:type="spellStart"/>
      <w:r w:rsidR="001A288E" w:rsidRPr="00106E99">
        <w:rPr>
          <w:shd w:val="clear" w:color="auto" w:fill="FFFFFF"/>
          <w:lang w:val="en-GB"/>
        </w:rPr>
        <w:t>Futtermittel</w:t>
      </w:r>
      <w:proofErr w:type="spellEnd"/>
      <w:r w:rsidR="001A288E" w:rsidRPr="00106E99">
        <w:rPr>
          <w:shd w:val="clear" w:color="auto" w:fill="FFFFFF"/>
          <w:lang w:val="en-GB"/>
        </w:rPr>
        <w:t xml:space="preserve"> (EVGF)</w:t>
      </w:r>
    </w:p>
    <w:p w:rsidR="004411D8" w:rsidRPr="006900AE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900AE">
        <w:rPr>
          <w:lang w:val="en-GB"/>
        </w:rPr>
        <w:t xml:space="preserve">C-617/10 </w:t>
      </w:r>
      <w:proofErr w:type="spellStart"/>
      <w:r w:rsidRPr="006900AE">
        <w:rPr>
          <w:bCs/>
          <w:shd w:val="clear" w:color="auto" w:fill="FFFFFF"/>
        </w:rPr>
        <w:t>Åklagaren</w:t>
      </w:r>
      <w:proofErr w:type="spellEnd"/>
      <w:r w:rsidRPr="006900AE">
        <w:rPr>
          <w:bCs/>
          <w:shd w:val="clear" w:color="auto" w:fill="FFFFFF"/>
        </w:rPr>
        <w:t xml:space="preserve"> przeciwko Hans </w:t>
      </w:r>
      <w:proofErr w:type="spellStart"/>
      <w:r w:rsidRPr="006900AE">
        <w:rPr>
          <w:bCs/>
          <w:shd w:val="clear" w:color="auto" w:fill="FFFFFF"/>
        </w:rPr>
        <w:t>Åkerberg</w:t>
      </w:r>
      <w:proofErr w:type="spellEnd"/>
      <w:r w:rsidRPr="006900AE">
        <w:rPr>
          <w:bCs/>
          <w:shd w:val="clear" w:color="auto" w:fill="FFFFFF"/>
        </w:rPr>
        <w:t xml:space="preserve"> </w:t>
      </w:r>
      <w:proofErr w:type="spellStart"/>
      <w:r w:rsidRPr="006900AE">
        <w:rPr>
          <w:b/>
          <w:bCs/>
          <w:shd w:val="clear" w:color="auto" w:fill="FFFFFF"/>
        </w:rPr>
        <w:t>Fransson</w:t>
      </w:r>
      <w:proofErr w:type="spellEnd"/>
    </w:p>
    <w:p w:rsidR="00FA010A" w:rsidRPr="00106E99" w:rsidRDefault="001A288E" w:rsidP="007806D2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106E99">
        <w:t xml:space="preserve">C-399/11 </w:t>
      </w:r>
      <w:r w:rsidRPr="006900AE">
        <w:rPr>
          <w:shd w:val="clear" w:color="auto" w:fill="FFFFFF"/>
        </w:rPr>
        <w:t>Stefano </w:t>
      </w:r>
      <w:proofErr w:type="spellStart"/>
      <w:r w:rsidRPr="006900AE">
        <w:rPr>
          <w:rStyle w:val="Uwydatnienie"/>
          <w:b/>
          <w:bCs/>
          <w:i w:val="0"/>
          <w:iCs w:val="0"/>
          <w:shd w:val="clear" w:color="auto" w:fill="FFFFFF"/>
        </w:rPr>
        <w:t>Melloni</w:t>
      </w:r>
      <w:proofErr w:type="spellEnd"/>
      <w:r w:rsidRPr="006900AE">
        <w:rPr>
          <w:shd w:val="clear" w:color="auto" w:fill="FFFFFF"/>
        </w:rPr>
        <w:t xml:space="preserve"> przeciwko </w:t>
      </w:r>
      <w:proofErr w:type="spellStart"/>
      <w:r w:rsidRPr="006900AE">
        <w:rPr>
          <w:shd w:val="clear" w:color="auto" w:fill="FFFFFF"/>
        </w:rPr>
        <w:t>Ministerio</w:t>
      </w:r>
      <w:proofErr w:type="spellEnd"/>
      <w:r w:rsidRPr="006900AE">
        <w:rPr>
          <w:shd w:val="clear" w:color="auto" w:fill="FFFFFF"/>
        </w:rPr>
        <w:t xml:space="preserve"> </w:t>
      </w:r>
      <w:proofErr w:type="spellStart"/>
      <w:r w:rsidRPr="006900AE">
        <w:rPr>
          <w:shd w:val="clear" w:color="auto" w:fill="FFFFFF"/>
        </w:rPr>
        <w:t>Fiscal</w:t>
      </w:r>
      <w:proofErr w:type="spellEnd"/>
    </w:p>
    <w:p w:rsidR="00FA010A" w:rsidRPr="006900AE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6900AE">
        <w:rPr>
          <w:lang w:val="en-GB"/>
        </w:rPr>
        <w:t xml:space="preserve">26/62 </w:t>
      </w:r>
      <w:r w:rsidRPr="006900AE">
        <w:rPr>
          <w:bCs/>
        </w:rPr>
        <w:t xml:space="preserve">Spółka NV </w:t>
      </w:r>
      <w:proofErr w:type="spellStart"/>
      <w:r w:rsidRPr="006900AE">
        <w:rPr>
          <w:bCs/>
        </w:rPr>
        <w:t>Algemene</w:t>
      </w:r>
      <w:proofErr w:type="spellEnd"/>
      <w:r w:rsidRPr="006900AE">
        <w:rPr>
          <w:bCs/>
        </w:rPr>
        <w:t xml:space="preserve"> Transport - en </w:t>
      </w:r>
      <w:proofErr w:type="spellStart"/>
      <w:r w:rsidRPr="006900AE">
        <w:rPr>
          <w:bCs/>
        </w:rPr>
        <w:t>Expeditie</w:t>
      </w:r>
      <w:proofErr w:type="spellEnd"/>
      <w:r w:rsidRPr="006900AE">
        <w:rPr>
          <w:bCs/>
        </w:rPr>
        <w:t xml:space="preserve"> </w:t>
      </w:r>
      <w:proofErr w:type="spellStart"/>
      <w:r w:rsidRPr="006900AE">
        <w:rPr>
          <w:bCs/>
        </w:rPr>
        <w:t>Onderneming</w:t>
      </w:r>
      <w:proofErr w:type="spellEnd"/>
      <w:r w:rsidRPr="006900AE">
        <w:rPr>
          <w:bCs/>
        </w:rPr>
        <w:t xml:space="preserve"> </w:t>
      </w:r>
      <w:r w:rsidRPr="006900AE">
        <w:rPr>
          <w:b/>
          <w:bCs/>
        </w:rPr>
        <w:t xml:space="preserve">van </w:t>
      </w:r>
      <w:proofErr w:type="spellStart"/>
      <w:r w:rsidRPr="006900AE">
        <w:rPr>
          <w:b/>
          <w:bCs/>
        </w:rPr>
        <w:t>Gend</w:t>
      </w:r>
      <w:proofErr w:type="spellEnd"/>
      <w:r w:rsidRPr="006900AE">
        <w:rPr>
          <w:b/>
          <w:bCs/>
        </w:rPr>
        <w:t xml:space="preserve"> &amp; Loos</w:t>
      </w:r>
      <w:r w:rsidRPr="006900AE">
        <w:rPr>
          <w:bCs/>
        </w:rPr>
        <w:t xml:space="preserve"> przeciwko Holenderskiej administracji celnej</w:t>
      </w:r>
    </w:p>
    <w:p w:rsidR="00FA010A" w:rsidRPr="00106E99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>41/74</w:t>
      </w:r>
      <w:r w:rsidR="003440DE" w:rsidRPr="00106E99">
        <w:rPr>
          <w:lang w:val="en-GB"/>
        </w:rPr>
        <w:t xml:space="preserve"> </w:t>
      </w:r>
      <w:r w:rsidRPr="00106E99">
        <w:rPr>
          <w:shd w:val="clear" w:color="auto" w:fill="FFFFFF"/>
          <w:lang w:val="en-GB"/>
        </w:rPr>
        <w:t>Yvonne </w:t>
      </w:r>
      <w:r w:rsidRPr="00106E99">
        <w:rPr>
          <w:rStyle w:val="Uwydatnienie"/>
          <w:b/>
          <w:bCs/>
          <w:i w:val="0"/>
          <w:iCs w:val="0"/>
          <w:shd w:val="clear" w:color="auto" w:fill="FFFFFF"/>
          <w:lang w:val="en-GB"/>
        </w:rPr>
        <w:t xml:space="preserve">van </w:t>
      </w:r>
      <w:proofErr w:type="spellStart"/>
      <w:r w:rsidRPr="00106E99">
        <w:rPr>
          <w:rStyle w:val="Uwydatnienie"/>
          <w:b/>
          <w:bCs/>
          <w:i w:val="0"/>
          <w:iCs w:val="0"/>
          <w:shd w:val="clear" w:color="auto" w:fill="FFFFFF"/>
          <w:lang w:val="en-GB"/>
        </w:rPr>
        <w:t>Duyn</w:t>
      </w:r>
      <w:proofErr w:type="spellEnd"/>
      <w:r w:rsidRPr="00106E99">
        <w:rPr>
          <w:rStyle w:val="Uwydatnienie"/>
          <w:bCs/>
          <w:i w:val="0"/>
          <w:iCs w:val="0"/>
          <w:shd w:val="clear" w:color="auto" w:fill="FFFFFF"/>
          <w:lang w:val="en-GB"/>
        </w:rPr>
        <w:t xml:space="preserve"> </w:t>
      </w:r>
      <w:proofErr w:type="spellStart"/>
      <w:r w:rsidRPr="00106E99">
        <w:rPr>
          <w:rStyle w:val="Uwydatnienie"/>
          <w:bCs/>
          <w:i w:val="0"/>
          <w:iCs w:val="0"/>
          <w:shd w:val="clear" w:color="auto" w:fill="FFFFFF"/>
          <w:lang w:val="en-GB"/>
        </w:rPr>
        <w:t>przeciwko</w:t>
      </w:r>
      <w:proofErr w:type="spellEnd"/>
      <w:r w:rsidRPr="00106E99">
        <w:rPr>
          <w:shd w:val="clear" w:color="auto" w:fill="FFFFFF"/>
          <w:lang w:val="en-GB"/>
        </w:rPr>
        <w:t> Home Office</w:t>
      </w:r>
    </w:p>
    <w:p w:rsidR="00FA010A" w:rsidRPr="006900AE" w:rsidRDefault="003440D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C-91/92 </w:t>
      </w:r>
      <w:r w:rsidR="001A288E" w:rsidRPr="006900AE">
        <w:rPr>
          <w:shd w:val="clear" w:color="auto" w:fill="FFFFFF"/>
        </w:rPr>
        <w:t>Paola </w:t>
      </w:r>
      <w:proofErr w:type="spellStart"/>
      <w:r w:rsidR="001A288E" w:rsidRPr="006900AE">
        <w:rPr>
          <w:rStyle w:val="Uwydatnienie"/>
          <w:b/>
          <w:bCs/>
          <w:i w:val="0"/>
          <w:iCs w:val="0"/>
          <w:shd w:val="clear" w:color="auto" w:fill="FFFFFF"/>
        </w:rPr>
        <w:t>Faccini</w:t>
      </w:r>
      <w:proofErr w:type="spellEnd"/>
      <w:r w:rsidR="001A288E" w:rsidRPr="006900AE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1A288E" w:rsidRPr="006900AE">
        <w:rPr>
          <w:rStyle w:val="Uwydatnienie"/>
          <w:b/>
          <w:bCs/>
          <w:i w:val="0"/>
          <w:iCs w:val="0"/>
          <w:shd w:val="clear" w:color="auto" w:fill="FFFFFF"/>
        </w:rPr>
        <w:t>Dori</w:t>
      </w:r>
      <w:proofErr w:type="spellEnd"/>
      <w:r w:rsidR="001A288E" w:rsidRPr="006900AE">
        <w:rPr>
          <w:shd w:val="clear" w:color="auto" w:fill="FFFFFF"/>
        </w:rPr>
        <w:t xml:space="preserve"> przeciwko </w:t>
      </w:r>
      <w:proofErr w:type="spellStart"/>
      <w:r w:rsidR="001A288E" w:rsidRPr="006900AE">
        <w:rPr>
          <w:shd w:val="clear" w:color="auto" w:fill="FFFFFF"/>
        </w:rPr>
        <w:t>Recreb</w:t>
      </w:r>
      <w:proofErr w:type="spellEnd"/>
      <w:r w:rsidR="001A288E" w:rsidRPr="006900AE">
        <w:rPr>
          <w:shd w:val="clear" w:color="auto" w:fill="FFFFFF"/>
        </w:rPr>
        <w:t xml:space="preserve"> </w:t>
      </w:r>
      <w:proofErr w:type="spellStart"/>
      <w:r w:rsidR="001A288E" w:rsidRPr="006900AE">
        <w:rPr>
          <w:shd w:val="clear" w:color="auto" w:fill="FFFFFF"/>
        </w:rPr>
        <w:t>Srl</w:t>
      </w:r>
      <w:proofErr w:type="spellEnd"/>
    </w:p>
    <w:p w:rsidR="00FA010A" w:rsidRPr="00106E99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 xml:space="preserve">C-14/83 </w:t>
      </w:r>
      <w:r w:rsidRPr="00106E99">
        <w:rPr>
          <w:shd w:val="clear" w:color="auto" w:fill="FFFFFF"/>
          <w:lang w:val="en-GB"/>
        </w:rPr>
        <w:t>Sabine </w:t>
      </w:r>
      <w:r w:rsidRPr="00106E99">
        <w:rPr>
          <w:rStyle w:val="Uwydatnienie"/>
          <w:b/>
          <w:bCs/>
          <w:i w:val="0"/>
          <w:iCs w:val="0"/>
          <w:shd w:val="clear" w:color="auto" w:fill="FFFFFF"/>
          <w:lang w:val="en-GB"/>
        </w:rPr>
        <w:t>von Colson</w:t>
      </w:r>
      <w:r w:rsidRPr="00106E99">
        <w:rPr>
          <w:shd w:val="clear" w:color="auto" w:fill="FFFFFF"/>
          <w:lang w:val="en-GB"/>
        </w:rPr>
        <w:t> </w:t>
      </w:r>
      <w:proofErr w:type="spellStart"/>
      <w:r w:rsidRPr="00106E99">
        <w:rPr>
          <w:shd w:val="clear" w:color="auto" w:fill="FFFFFF"/>
          <w:lang w:val="en-GB"/>
        </w:rPr>
        <w:t>i</w:t>
      </w:r>
      <w:proofErr w:type="spellEnd"/>
      <w:r w:rsidRPr="00106E99">
        <w:rPr>
          <w:shd w:val="clear" w:color="auto" w:fill="FFFFFF"/>
          <w:lang w:val="en-GB"/>
        </w:rPr>
        <w:t xml:space="preserve"> Elisabeth </w:t>
      </w:r>
      <w:proofErr w:type="spellStart"/>
      <w:r w:rsidRPr="00106E99">
        <w:rPr>
          <w:shd w:val="clear" w:color="auto" w:fill="FFFFFF"/>
          <w:lang w:val="en-GB"/>
        </w:rPr>
        <w:t>Kamann</w:t>
      </w:r>
      <w:proofErr w:type="spellEnd"/>
      <w:r w:rsidRPr="00106E99">
        <w:rPr>
          <w:shd w:val="clear" w:color="auto" w:fill="FFFFFF"/>
          <w:lang w:val="en-GB"/>
        </w:rPr>
        <w:t xml:space="preserve"> </w:t>
      </w:r>
      <w:proofErr w:type="spellStart"/>
      <w:r w:rsidRPr="00106E99">
        <w:rPr>
          <w:shd w:val="clear" w:color="auto" w:fill="FFFFFF"/>
          <w:lang w:val="en-GB"/>
        </w:rPr>
        <w:t>przeciwko</w:t>
      </w:r>
      <w:proofErr w:type="spellEnd"/>
      <w:r w:rsidRPr="00106E99">
        <w:rPr>
          <w:shd w:val="clear" w:color="auto" w:fill="FFFFFF"/>
          <w:lang w:val="en-GB"/>
        </w:rPr>
        <w:t xml:space="preserve"> Land Nordrhein-Westfalen</w:t>
      </w:r>
    </w:p>
    <w:p w:rsidR="00FA010A" w:rsidRPr="00106E99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 xml:space="preserve">C-106/89 </w:t>
      </w:r>
      <w:proofErr w:type="spellStart"/>
      <w:r w:rsidRPr="00106E99">
        <w:rPr>
          <w:rStyle w:val="Uwydatnienie"/>
          <w:b/>
          <w:bCs/>
          <w:i w:val="0"/>
          <w:iCs w:val="0"/>
          <w:shd w:val="clear" w:color="auto" w:fill="FFFFFF"/>
          <w:lang w:val="en-GB"/>
        </w:rPr>
        <w:t>Marleasing</w:t>
      </w:r>
      <w:proofErr w:type="spellEnd"/>
      <w:r w:rsidRPr="00106E99">
        <w:rPr>
          <w:shd w:val="clear" w:color="auto" w:fill="FFFFFF"/>
          <w:lang w:val="en-GB"/>
        </w:rPr>
        <w:t xml:space="preserve"> SA </w:t>
      </w:r>
      <w:proofErr w:type="spellStart"/>
      <w:r w:rsidRPr="00106E99">
        <w:rPr>
          <w:shd w:val="clear" w:color="auto" w:fill="FFFFFF"/>
          <w:lang w:val="en-GB"/>
        </w:rPr>
        <w:t>przeciwko</w:t>
      </w:r>
      <w:proofErr w:type="spellEnd"/>
      <w:r w:rsidRPr="00106E99">
        <w:rPr>
          <w:shd w:val="clear" w:color="auto" w:fill="FFFFFF"/>
          <w:lang w:val="en-GB"/>
        </w:rPr>
        <w:t xml:space="preserve"> La </w:t>
      </w:r>
      <w:proofErr w:type="spellStart"/>
      <w:r w:rsidRPr="00106E99">
        <w:rPr>
          <w:shd w:val="clear" w:color="auto" w:fill="FFFFFF"/>
          <w:lang w:val="en-GB"/>
        </w:rPr>
        <w:t>Comercial</w:t>
      </w:r>
      <w:proofErr w:type="spellEnd"/>
      <w:r w:rsidRPr="00106E99">
        <w:rPr>
          <w:shd w:val="clear" w:color="auto" w:fill="FFFFFF"/>
          <w:lang w:val="en-GB"/>
        </w:rPr>
        <w:t xml:space="preserve"> </w:t>
      </w:r>
      <w:proofErr w:type="spellStart"/>
      <w:r w:rsidRPr="00106E99">
        <w:rPr>
          <w:shd w:val="clear" w:color="auto" w:fill="FFFFFF"/>
          <w:lang w:val="en-GB"/>
        </w:rPr>
        <w:t>Internacional</w:t>
      </w:r>
      <w:proofErr w:type="spellEnd"/>
      <w:r w:rsidRPr="00106E99">
        <w:rPr>
          <w:shd w:val="clear" w:color="auto" w:fill="FFFFFF"/>
          <w:lang w:val="en-GB"/>
        </w:rPr>
        <w:t xml:space="preserve"> de </w:t>
      </w:r>
      <w:proofErr w:type="spellStart"/>
      <w:r w:rsidRPr="00106E99">
        <w:rPr>
          <w:shd w:val="clear" w:color="auto" w:fill="FFFFFF"/>
          <w:lang w:val="en-GB"/>
        </w:rPr>
        <w:t>Alimentación</w:t>
      </w:r>
      <w:proofErr w:type="spellEnd"/>
      <w:r w:rsidRPr="00106E99">
        <w:rPr>
          <w:shd w:val="clear" w:color="auto" w:fill="FFFFFF"/>
          <w:lang w:val="en-GB"/>
        </w:rPr>
        <w:t xml:space="preserve"> SA</w:t>
      </w:r>
    </w:p>
    <w:p w:rsidR="00FA010A" w:rsidRPr="006900AE" w:rsidRDefault="003440D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>C-212/0</w:t>
      </w:r>
      <w:r w:rsidR="001A288E" w:rsidRPr="006900AE">
        <w:t>2</w:t>
      </w:r>
      <w:r w:rsidRPr="006900AE">
        <w:t xml:space="preserve"> </w:t>
      </w:r>
      <w:proofErr w:type="spellStart"/>
      <w:r w:rsidR="001A288E" w:rsidRPr="006900AE">
        <w:rPr>
          <w:shd w:val="clear" w:color="auto" w:fill="FFFFFF"/>
        </w:rPr>
        <w:t>Konstantinos</w:t>
      </w:r>
      <w:proofErr w:type="spellEnd"/>
      <w:r w:rsidR="001A288E" w:rsidRPr="006900AE">
        <w:rPr>
          <w:shd w:val="clear" w:color="auto" w:fill="FFFFFF"/>
        </w:rPr>
        <w:t> </w:t>
      </w:r>
      <w:proofErr w:type="spellStart"/>
      <w:r w:rsidR="001A288E" w:rsidRPr="006900AE">
        <w:rPr>
          <w:rStyle w:val="Uwydatnienie"/>
          <w:b/>
          <w:bCs/>
          <w:i w:val="0"/>
          <w:iCs w:val="0"/>
          <w:shd w:val="clear" w:color="auto" w:fill="FFFFFF"/>
        </w:rPr>
        <w:t>Adeneler</w:t>
      </w:r>
      <w:proofErr w:type="spellEnd"/>
      <w:r w:rsidR="001A288E" w:rsidRPr="006900AE">
        <w:rPr>
          <w:shd w:val="clear" w:color="auto" w:fill="FFFFFF"/>
        </w:rPr>
        <w:t xml:space="preserve"> i inni przeciwko </w:t>
      </w:r>
      <w:proofErr w:type="spellStart"/>
      <w:r w:rsidR="001A288E" w:rsidRPr="006900AE">
        <w:rPr>
          <w:shd w:val="clear" w:color="auto" w:fill="FFFFFF"/>
        </w:rPr>
        <w:t>Ellinikos</w:t>
      </w:r>
      <w:proofErr w:type="spellEnd"/>
      <w:r w:rsidR="001A288E" w:rsidRPr="006900AE">
        <w:rPr>
          <w:shd w:val="clear" w:color="auto" w:fill="FFFFFF"/>
        </w:rPr>
        <w:t xml:space="preserve"> </w:t>
      </w:r>
      <w:proofErr w:type="spellStart"/>
      <w:r w:rsidR="001A288E" w:rsidRPr="006900AE">
        <w:rPr>
          <w:shd w:val="clear" w:color="auto" w:fill="FFFFFF"/>
        </w:rPr>
        <w:t>Organismos</w:t>
      </w:r>
      <w:proofErr w:type="spellEnd"/>
      <w:r w:rsidR="001A288E" w:rsidRPr="006900AE">
        <w:rPr>
          <w:shd w:val="clear" w:color="auto" w:fill="FFFFFF"/>
        </w:rPr>
        <w:t xml:space="preserve"> </w:t>
      </w:r>
      <w:proofErr w:type="spellStart"/>
      <w:r w:rsidR="001A288E" w:rsidRPr="006900AE">
        <w:rPr>
          <w:shd w:val="clear" w:color="auto" w:fill="FFFFFF"/>
        </w:rPr>
        <w:t>Galaktos</w:t>
      </w:r>
      <w:proofErr w:type="spellEnd"/>
      <w:r w:rsidR="001A288E" w:rsidRPr="006900AE">
        <w:rPr>
          <w:shd w:val="clear" w:color="auto" w:fill="FFFFFF"/>
        </w:rPr>
        <w:t xml:space="preserve"> (ELOG)</w:t>
      </w:r>
    </w:p>
    <w:p w:rsidR="00FA010A" w:rsidRPr="006900AE" w:rsidRDefault="00F75205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C-188/89 </w:t>
      </w:r>
      <w:r w:rsidRPr="006900AE">
        <w:rPr>
          <w:shd w:val="clear" w:color="auto" w:fill="FFFFFF"/>
        </w:rPr>
        <w:t>A. </w:t>
      </w:r>
      <w:r w:rsidRPr="006900AE">
        <w:rPr>
          <w:rStyle w:val="Uwydatnienie"/>
          <w:b/>
          <w:bCs/>
          <w:i w:val="0"/>
          <w:iCs w:val="0"/>
          <w:shd w:val="clear" w:color="auto" w:fill="FFFFFF"/>
        </w:rPr>
        <w:t>Foster</w:t>
      </w:r>
      <w:r w:rsidRPr="006900AE">
        <w:rPr>
          <w:shd w:val="clear" w:color="auto" w:fill="FFFFFF"/>
        </w:rPr>
        <w:t xml:space="preserve"> i in. przeciwko British Gas </w:t>
      </w:r>
      <w:proofErr w:type="spellStart"/>
      <w:r w:rsidRPr="006900AE">
        <w:rPr>
          <w:shd w:val="clear" w:color="auto" w:fill="FFFFFF"/>
        </w:rPr>
        <w:t>plc</w:t>
      </w:r>
      <w:proofErr w:type="spellEnd"/>
    </w:p>
    <w:p w:rsidR="00FA010A" w:rsidRPr="00106E99" w:rsidRDefault="00F75205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 xml:space="preserve">C-282/10 </w:t>
      </w:r>
      <w:r w:rsidRPr="00106E99">
        <w:rPr>
          <w:shd w:val="clear" w:color="auto" w:fill="FFFFFF"/>
          <w:lang w:val="en-GB"/>
        </w:rPr>
        <w:t>Maribel </w:t>
      </w:r>
      <w:r w:rsidRPr="00106E99">
        <w:rPr>
          <w:rStyle w:val="Uwydatnienie"/>
          <w:b/>
          <w:bCs/>
          <w:i w:val="0"/>
          <w:iCs w:val="0"/>
          <w:shd w:val="clear" w:color="auto" w:fill="FFFFFF"/>
          <w:lang w:val="en-GB"/>
        </w:rPr>
        <w:t>Dominguez</w:t>
      </w:r>
      <w:r w:rsidRPr="00106E99">
        <w:rPr>
          <w:shd w:val="clear" w:color="auto" w:fill="FFFFFF"/>
          <w:lang w:val="en-GB"/>
        </w:rPr>
        <w:t> </w:t>
      </w:r>
      <w:proofErr w:type="spellStart"/>
      <w:r w:rsidRPr="00106E99">
        <w:rPr>
          <w:shd w:val="clear" w:color="auto" w:fill="FFFFFF"/>
          <w:lang w:val="en-GB"/>
        </w:rPr>
        <w:t>przeciwko</w:t>
      </w:r>
      <w:proofErr w:type="spellEnd"/>
      <w:r w:rsidRPr="00106E99">
        <w:rPr>
          <w:shd w:val="clear" w:color="auto" w:fill="FFFFFF"/>
          <w:lang w:val="en-GB"/>
        </w:rPr>
        <w:t xml:space="preserve"> Centre </w:t>
      </w:r>
      <w:proofErr w:type="spellStart"/>
      <w:r w:rsidRPr="00106E99">
        <w:rPr>
          <w:shd w:val="clear" w:color="auto" w:fill="FFFFFF"/>
          <w:lang w:val="en-GB"/>
        </w:rPr>
        <w:t>informatique</w:t>
      </w:r>
      <w:proofErr w:type="spellEnd"/>
      <w:r w:rsidRPr="00106E99">
        <w:rPr>
          <w:shd w:val="clear" w:color="auto" w:fill="FFFFFF"/>
          <w:lang w:val="en-GB"/>
        </w:rPr>
        <w:t xml:space="preserve"> du Centre </w:t>
      </w:r>
      <w:proofErr w:type="spellStart"/>
      <w:r w:rsidRPr="00106E99">
        <w:rPr>
          <w:shd w:val="clear" w:color="auto" w:fill="FFFFFF"/>
          <w:lang w:val="en-GB"/>
        </w:rPr>
        <w:t>Ouest</w:t>
      </w:r>
      <w:proofErr w:type="spellEnd"/>
      <w:r w:rsidRPr="00106E99">
        <w:rPr>
          <w:shd w:val="clear" w:color="auto" w:fill="FFFFFF"/>
          <w:lang w:val="en-GB"/>
        </w:rPr>
        <w:t xml:space="preserve"> </w:t>
      </w:r>
      <w:proofErr w:type="spellStart"/>
      <w:r w:rsidRPr="00106E99">
        <w:rPr>
          <w:shd w:val="clear" w:color="auto" w:fill="FFFFFF"/>
          <w:lang w:val="en-GB"/>
        </w:rPr>
        <w:t>Atlantique</w:t>
      </w:r>
      <w:proofErr w:type="spellEnd"/>
      <w:r w:rsidRPr="00106E99">
        <w:rPr>
          <w:shd w:val="clear" w:color="auto" w:fill="FFFFFF"/>
          <w:lang w:val="en-GB"/>
        </w:rPr>
        <w:t xml:space="preserve"> </w:t>
      </w:r>
      <w:proofErr w:type="spellStart"/>
      <w:r w:rsidRPr="00106E99">
        <w:rPr>
          <w:shd w:val="clear" w:color="auto" w:fill="FFFFFF"/>
          <w:lang w:val="en-GB"/>
        </w:rPr>
        <w:t>i</w:t>
      </w:r>
      <w:proofErr w:type="spellEnd"/>
      <w:r w:rsidRPr="00106E99">
        <w:rPr>
          <w:shd w:val="clear" w:color="auto" w:fill="FFFFFF"/>
          <w:lang w:val="en-GB"/>
        </w:rPr>
        <w:t xml:space="preserve"> </w:t>
      </w:r>
      <w:proofErr w:type="spellStart"/>
      <w:r w:rsidRPr="00106E99">
        <w:rPr>
          <w:shd w:val="clear" w:color="auto" w:fill="FFFFFF"/>
          <w:lang w:val="en-GB"/>
        </w:rPr>
        <w:t>Préfet</w:t>
      </w:r>
      <w:proofErr w:type="spellEnd"/>
      <w:r w:rsidRPr="00106E99">
        <w:rPr>
          <w:shd w:val="clear" w:color="auto" w:fill="FFFFFF"/>
          <w:lang w:val="en-GB"/>
        </w:rPr>
        <w:t xml:space="preserve"> de la region Centre</w:t>
      </w:r>
    </w:p>
    <w:p w:rsidR="00FA010A" w:rsidRPr="006900AE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C-6/90 i C-9/90 </w:t>
      </w:r>
      <w:r w:rsidR="00F75205" w:rsidRPr="006900AE">
        <w:t xml:space="preserve">Andrea </w:t>
      </w:r>
      <w:proofErr w:type="spellStart"/>
      <w:r w:rsidR="00FA010A" w:rsidRPr="006900AE">
        <w:rPr>
          <w:b/>
        </w:rPr>
        <w:t>Francovich</w:t>
      </w:r>
      <w:proofErr w:type="spellEnd"/>
      <w:r w:rsidR="00F75205" w:rsidRPr="006900AE">
        <w:t xml:space="preserve"> i </w:t>
      </w:r>
      <w:proofErr w:type="spellStart"/>
      <w:r w:rsidR="00F75205" w:rsidRPr="006900AE">
        <w:t>Danila</w:t>
      </w:r>
      <w:proofErr w:type="spellEnd"/>
      <w:r w:rsidR="00F75205" w:rsidRPr="006900AE">
        <w:t xml:space="preserve"> </w:t>
      </w:r>
      <w:proofErr w:type="spellStart"/>
      <w:r w:rsidR="00F75205" w:rsidRPr="006900AE">
        <w:t>Bonifaci</w:t>
      </w:r>
      <w:proofErr w:type="spellEnd"/>
      <w:r w:rsidR="00F75205" w:rsidRPr="006900AE">
        <w:t xml:space="preserve"> i in. przeciwko Republice Włoskiej</w:t>
      </w:r>
    </w:p>
    <w:p w:rsidR="00FA010A" w:rsidRPr="00106E99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 xml:space="preserve">C-46/93 </w:t>
      </w:r>
      <w:proofErr w:type="spellStart"/>
      <w:r w:rsidRPr="00106E99">
        <w:rPr>
          <w:lang w:val="en-GB"/>
        </w:rPr>
        <w:t>i</w:t>
      </w:r>
      <w:proofErr w:type="spellEnd"/>
      <w:r w:rsidRPr="00106E99">
        <w:rPr>
          <w:lang w:val="en-GB"/>
        </w:rPr>
        <w:t xml:space="preserve"> C-48/93 </w:t>
      </w:r>
      <w:proofErr w:type="spellStart"/>
      <w:r w:rsidR="00F75205" w:rsidRPr="00106E99">
        <w:rPr>
          <w:b/>
          <w:bCs/>
          <w:shd w:val="clear" w:color="auto" w:fill="FFFFFF"/>
          <w:lang w:val="en-GB"/>
        </w:rPr>
        <w:t>Brasserie</w:t>
      </w:r>
      <w:proofErr w:type="spellEnd"/>
      <w:r w:rsidR="00F75205" w:rsidRPr="00106E99">
        <w:rPr>
          <w:b/>
          <w:bCs/>
          <w:shd w:val="clear" w:color="auto" w:fill="FFFFFF"/>
          <w:lang w:val="en-GB"/>
        </w:rPr>
        <w:t xml:space="preserve"> du </w:t>
      </w:r>
      <w:proofErr w:type="spellStart"/>
      <w:r w:rsidR="00F75205" w:rsidRPr="00106E99">
        <w:rPr>
          <w:b/>
          <w:bCs/>
          <w:shd w:val="clear" w:color="auto" w:fill="FFFFFF"/>
          <w:lang w:val="en-GB"/>
        </w:rPr>
        <w:t>P</w:t>
      </w:r>
      <w:r w:rsidR="00F75205" w:rsidRPr="00106E99">
        <w:rPr>
          <w:rStyle w:val="Uwydatnienie"/>
          <w:b/>
          <w:bCs/>
          <w:i w:val="0"/>
          <w:iCs w:val="0"/>
          <w:shd w:val="clear" w:color="auto" w:fill="FFFFFF"/>
          <w:lang w:val="en-GB"/>
        </w:rPr>
        <w:t>ê</w:t>
      </w:r>
      <w:r w:rsidR="00F75205" w:rsidRPr="00106E99">
        <w:rPr>
          <w:b/>
          <w:bCs/>
          <w:shd w:val="clear" w:color="auto" w:fill="FFFFFF"/>
          <w:lang w:val="en-GB"/>
        </w:rPr>
        <w:t>cheur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SA </w:t>
      </w:r>
      <w:proofErr w:type="spellStart"/>
      <w:r w:rsidR="00F75205" w:rsidRPr="00106E99">
        <w:rPr>
          <w:bCs/>
          <w:shd w:val="clear" w:color="auto" w:fill="FFFFFF"/>
          <w:lang w:val="en-GB"/>
        </w:rPr>
        <w:t>przeciwko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</w:t>
      </w:r>
      <w:proofErr w:type="spellStart"/>
      <w:r w:rsidR="00F75205" w:rsidRPr="00106E99">
        <w:rPr>
          <w:bCs/>
          <w:shd w:val="clear" w:color="auto" w:fill="FFFFFF"/>
          <w:lang w:val="en-GB"/>
        </w:rPr>
        <w:t>Bundesrepublik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Deutschland </w:t>
      </w:r>
      <w:proofErr w:type="spellStart"/>
      <w:r w:rsidR="00F75205" w:rsidRPr="00106E99">
        <w:rPr>
          <w:bCs/>
          <w:shd w:val="clear" w:color="auto" w:fill="FFFFFF"/>
          <w:lang w:val="en-GB"/>
        </w:rPr>
        <w:t>i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The Queen </w:t>
      </w:r>
      <w:proofErr w:type="spellStart"/>
      <w:r w:rsidR="00F75205" w:rsidRPr="00106E99">
        <w:rPr>
          <w:bCs/>
          <w:shd w:val="clear" w:color="auto" w:fill="FFFFFF"/>
          <w:lang w:val="en-GB"/>
        </w:rPr>
        <w:t>przeciwko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Secretary of State for Transport, ex parte: </w:t>
      </w:r>
      <w:proofErr w:type="spellStart"/>
      <w:r w:rsidR="00F75205" w:rsidRPr="00106E99">
        <w:rPr>
          <w:bCs/>
          <w:shd w:val="clear" w:color="auto" w:fill="FFFFFF"/>
          <w:lang w:val="en-GB"/>
        </w:rPr>
        <w:t>Factortame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Ltd </w:t>
      </w:r>
      <w:proofErr w:type="spellStart"/>
      <w:r w:rsidR="00F75205" w:rsidRPr="00106E99">
        <w:rPr>
          <w:bCs/>
          <w:shd w:val="clear" w:color="auto" w:fill="FFFFFF"/>
          <w:lang w:val="en-GB"/>
        </w:rPr>
        <w:t>i</w:t>
      </w:r>
      <w:proofErr w:type="spellEnd"/>
      <w:r w:rsidR="00F75205" w:rsidRPr="00106E99">
        <w:rPr>
          <w:bCs/>
          <w:shd w:val="clear" w:color="auto" w:fill="FFFFFF"/>
          <w:lang w:val="en-GB"/>
        </w:rPr>
        <w:t xml:space="preserve"> in.</w:t>
      </w:r>
    </w:p>
    <w:p w:rsidR="00FA010A" w:rsidRPr="00106E99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 xml:space="preserve">C-213/89 </w:t>
      </w:r>
      <w:r w:rsidR="00F75205" w:rsidRPr="00106E99">
        <w:rPr>
          <w:lang w:val="en-GB"/>
        </w:rPr>
        <w:t xml:space="preserve">The Queen </w:t>
      </w:r>
      <w:proofErr w:type="spellStart"/>
      <w:r w:rsidR="00F75205" w:rsidRPr="00106E99">
        <w:rPr>
          <w:lang w:val="en-GB"/>
        </w:rPr>
        <w:t>przeciwko</w:t>
      </w:r>
      <w:proofErr w:type="spellEnd"/>
      <w:r w:rsidR="00F75205" w:rsidRPr="00106E99">
        <w:rPr>
          <w:lang w:val="en-GB"/>
        </w:rPr>
        <w:t xml:space="preserve"> </w:t>
      </w:r>
      <w:r w:rsidR="00F75205" w:rsidRPr="00106E99">
        <w:rPr>
          <w:bCs/>
          <w:lang w:val="en-GB"/>
        </w:rPr>
        <w:t>Secretary of State for Transport</w:t>
      </w:r>
      <w:r w:rsidR="00F75205" w:rsidRPr="00106E99">
        <w:rPr>
          <w:lang w:val="en-GB"/>
        </w:rPr>
        <w:t xml:space="preserve">, ex parte </w:t>
      </w:r>
      <w:proofErr w:type="spellStart"/>
      <w:r w:rsidR="00F75205" w:rsidRPr="00106E99">
        <w:rPr>
          <w:b/>
          <w:lang w:val="en-GB"/>
        </w:rPr>
        <w:t>Factortame</w:t>
      </w:r>
      <w:proofErr w:type="spellEnd"/>
      <w:r w:rsidR="00F75205" w:rsidRPr="00106E99">
        <w:rPr>
          <w:lang w:val="en-GB"/>
        </w:rPr>
        <w:t xml:space="preserve"> Ltd </w:t>
      </w:r>
      <w:proofErr w:type="spellStart"/>
      <w:r w:rsidR="00F75205" w:rsidRPr="00106E99">
        <w:rPr>
          <w:lang w:val="en-GB"/>
        </w:rPr>
        <w:t>i</w:t>
      </w:r>
      <w:proofErr w:type="spellEnd"/>
      <w:r w:rsidR="00F75205" w:rsidRPr="00106E99">
        <w:rPr>
          <w:lang w:val="en-GB"/>
        </w:rPr>
        <w:t> in.</w:t>
      </w:r>
    </w:p>
    <w:p w:rsidR="00FA010A" w:rsidRPr="006900AE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C-224/01 </w:t>
      </w:r>
      <w:r w:rsidR="00F75205" w:rsidRPr="006900AE">
        <w:t xml:space="preserve">Gerhard </w:t>
      </w:r>
      <w:proofErr w:type="spellStart"/>
      <w:r w:rsidR="00FA010A" w:rsidRPr="006900AE">
        <w:rPr>
          <w:b/>
        </w:rPr>
        <w:t>Köbler</w:t>
      </w:r>
      <w:proofErr w:type="spellEnd"/>
      <w:r w:rsidR="00F75205" w:rsidRPr="006900AE">
        <w:rPr>
          <w:b/>
        </w:rPr>
        <w:t xml:space="preserve"> </w:t>
      </w:r>
      <w:r w:rsidR="00F75205" w:rsidRPr="006900AE">
        <w:t>przeciwko Republice Austrii</w:t>
      </w:r>
    </w:p>
    <w:p w:rsidR="00BC4B24" w:rsidRPr="006900AE" w:rsidRDefault="00F75205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25/62 </w:t>
      </w:r>
      <w:r w:rsidRPr="006900AE">
        <w:rPr>
          <w:bCs/>
        </w:rPr>
        <w:t>Przedsiębiorstwo</w:t>
      </w:r>
      <w:r w:rsidRPr="006900AE">
        <w:rPr>
          <w:b/>
          <w:bCs/>
        </w:rPr>
        <w:t xml:space="preserve"> </w:t>
      </w:r>
      <w:proofErr w:type="spellStart"/>
      <w:r w:rsidRPr="006900AE">
        <w:rPr>
          <w:b/>
          <w:bCs/>
        </w:rPr>
        <w:t>Plaumann</w:t>
      </w:r>
      <w:proofErr w:type="spellEnd"/>
      <w:r w:rsidRPr="006900AE">
        <w:rPr>
          <w:b/>
          <w:bCs/>
        </w:rPr>
        <w:t xml:space="preserve"> </w:t>
      </w:r>
      <w:r w:rsidRPr="006900AE">
        <w:rPr>
          <w:bCs/>
        </w:rPr>
        <w:t>&amp; Co</w:t>
      </w:r>
      <w:r w:rsidR="006900AE" w:rsidRPr="006900AE">
        <w:rPr>
          <w:bCs/>
        </w:rPr>
        <w:t>.</w:t>
      </w:r>
      <w:r w:rsidR="006900AE" w:rsidRPr="006900AE">
        <w:rPr>
          <w:b/>
          <w:bCs/>
        </w:rPr>
        <w:t xml:space="preserve"> </w:t>
      </w:r>
      <w:r w:rsidRPr="006900AE">
        <w:t>przeciwko Komisji</w:t>
      </w:r>
    </w:p>
    <w:p w:rsidR="00BC4B24" w:rsidRPr="006900AE" w:rsidRDefault="00F75205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C-583/11 </w:t>
      </w:r>
      <w:proofErr w:type="spellStart"/>
      <w:r w:rsidR="006900AE" w:rsidRPr="006900AE">
        <w:rPr>
          <w:rStyle w:val="Uwydatnienie"/>
          <w:b/>
          <w:bCs/>
          <w:i w:val="0"/>
          <w:iCs w:val="0"/>
          <w:shd w:val="clear" w:color="auto" w:fill="FFFFFF"/>
        </w:rPr>
        <w:t>Inuit</w:t>
      </w:r>
      <w:proofErr w:type="spellEnd"/>
      <w:r w:rsidR="006900AE" w:rsidRPr="006900AE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6900AE" w:rsidRPr="006900AE">
        <w:rPr>
          <w:rStyle w:val="Uwydatnienie"/>
          <w:b/>
          <w:bCs/>
          <w:i w:val="0"/>
          <w:iCs w:val="0"/>
          <w:shd w:val="clear" w:color="auto" w:fill="FFFFFF"/>
        </w:rPr>
        <w:t>Tapiriit</w:t>
      </w:r>
      <w:proofErr w:type="spellEnd"/>
      <w:r w:rsidR="006900AE" w:rsidRPr="006900AE">
        <w:rPr>
          <w:shd w:val="clear" w:color="auto" w:fill="FFFFFF"/>
        </w:rPr>
        <w:t> </w:t>
      </w:r>
      <w:proofErr w:type="spellStart"/>
      <w:r w:rsidR="006900AE" w:rsidRPr="006900AE">
        <w:rPr>
          <w:shd w:val="clear" w:color="auto" w:fill="FFFFFF"/>
        </w:rPr>
        <w:t>Kanatami</w:t>
      </w:r>
      <w:proofErr w:type="spellEnd"/>
      <w:r w:rsidR="006900AE" w:rsidRPr="006900AE">
        <w:rPr>
          <w:shd w:val="clear" w:color="auto" w:fill="FFFFFF"/>
        </w:rPr>
        <w:t xml:space="preserve"> i in. przeciwko Parlamentowi Europejskiemu i Radzie Unii Europejskiej</w:t>
      </w:r>
    </w:p>
    <w:p w:rsidR="00BC4B24" w:rsidRPr="006900AE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900AE">
        <w:t xml:space="preserve">283/81 </w:t>
      </w:r>
      <w:proofErr w:type="spellStart"/>
      <w:r w:rsidR="006900AE" w:rsidRPr="006900AE">
        <w:rPr>
          <w:shd w:val="clear" w:color="auto" w:fill="FFFFFF"/>
        </w:rPr>
        <w:t>Srl</w:t>
      </w:r>
      <w:proofErr w:type="spellEnd"/>
      <w:r w:rsidR="006900AE" w:rsidRPr="006900AE">
        <w:rPr>
          <w:shd w:val="clear" w:color="auto" w:fill="FFFFFF"/>
        </w:rPr>
        <w:t> </w:t>
      </w:r>
      <w:r w:rsidR="006900AE" w:rsidRPr="006900AE">
        <w:rPr>
          <w:rStyle w:val="Uwydatnienie"/>
          <w:b/>
          <w:bCs/>
          <w:i w:val="0"/>
          <w:iCs w:val="0"/>
          <w:shd w:val="clear" w:color="auto" w:fill="FFFFFF"/>
        </w:rPr>
        <w:t>CILFIT</w:t>
      </w:r>
      <w:r w:rsidR="006900AE" w:rsidRPr="006900AE">
        <w:rPr>
          <w:shd w:val="clear" w:color="auto" w:fill="FFFFFF"/>
        </w:rPr>
        <w:t xml:space="preserve"> i </w:t>
      </w:r>
      <w:proofErr w:type="spellStart"/>
      <w:r w:rsidR="006900AE" w:rsidRPr="006900AE">
        <w:rPr>
          <w:shd w:val="clear" w:color="auto" w:fill="FFFFFF"/>
        </w:rPr>
        <w:t>Lanificio</w:t>
      </w:r>
      <w:proofErr w:type="spellEnd"/>
      <w:r w:rsidR="006900AE" w:rsidRPr="006900AE">
        <w:rPr>
          <w:shd w:val="clear" w:color="auto" w:fill="FFFFFF"/>
        </w:rPr>
        <w:t xml:space="preserve"> di </w:t>
      </w:r>
      <w:proofErr w:type="spellStart"/>
      <w:r w:rsidR="006900AE" w:rsidRPr="006900AE">
        <w:rPr>
          <w:shd w:val="clear" w:color="auto" w:fill="FFFFFF"/>
        </w:rPr>
        <w:t>Gavardo</w:t>
      </w:r>
      <w:proofErr w:type="spellEnd"/>
      <w:r w:rsidR="006900AE" w:rsidRPr="006900AE">
        <w:rPr>
          <w:shd w:val="clear" w:color="auto" w:fill="FFFFFF"/>
        </w:rPr>
        <w:t xml:space="preserve"> </w:t>
      </w:r>
      <w:proofErr w:type="spellStart"/>
      <w:r w:rsidR="006900AE" w:rsidRPr="006900AE">
        <w:rPr>
          <w:shd w:val="clear" w:color="auto" w:fill="FFFFFF"/>
        </w:rPr>
        <w:t>SpA</w:t>
      </w:r>
      <w:proofErr w:type="spellEnd"/>
      <w:r w:rsidR="006900AE" w:rsidRPr="006900AE">
        <w:rPr>
          <w:shd w:val="clear" w:color="auto" w:fill="FFFFFF"/>
        </w:rPr>
        <w:t xml:space="preserve">. przeciwko </w:t>
      </w:r>
      <w:proofErr w:type="spellStart"/>
      <w:r w:rsidR="006900AE" w:rsidRPr="006900AE">
        <w:rPr>
          <w:shd w:val="clear" w:color="auto" w:fill="FFFFFF"/>
        </w:rPr>
        <w:t>Ministero</w:t>
      </w:r>
      <w:proofErr w:type="spellEnd"/>
      <w:r w:rsidR="006900AE" w:rsidRPr="006900AE">
        <w:rPr>
          <w:shd w:val="clear" w:color="auto" w:fill="FFFFFF"/>
        </w:rPr>
        <w:t xml:space="preserve"> </w:t>
      </w:r>
      <w:proofErr w:type="spellStart"/>
      <w:r w:rsidR="006900AE" w:rsidRPr="006900AE">
        <w:rPr>
          <w:shd w:val="clear" w:color="auto" w:fill="FFFFFF"/>
        </w:rPr>
        <w:t>della</w:t>
      </w:r>
      <w:proofErr w:type="spellEnd"/>
      <w:r w:rsidR="006900AE" w:rsidRPr="006900AE">
        <w:rPr>
          <w:shd w:val="clear" w:color="auto" w:fill="FFFFFF"/>
        </w:rPr>
        <w:t xml:space="preserve"> </w:t>
      </w:r>
      <w:proofErr w:type="spellStart"/>
      <w:r w:rsidR="006900AE" w:rsidRPr="006900AE">
        <w:rPr>
          <w:shd w:val="clear" w:color="auto" w:fill="FFFFFF"/>
        </w:rPr>
        <w:t>Sanità</w:t>
      </w:r>
      <w:proofErr w:type="spellEnd"/>
    </w:p>
    <w:p w:rsidR="00BC4B24" w:rsidRPr="005D6D49" w:rsidRDefault="006900A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5D6D49">
        <w:rPr>
          <w:shd w:val="clear" w:color="auto" w:fill="FFFFFF"/>
        </w:rPr>
        <w:t xml:space="preserve">28-30/62 </w:t>
      </w:r>
      <w:r w:rsidR="00BC4B24" w:rsidRPr="005D6D49">
        <w:rPr>
          <w:b/>
        </w:rPr>
        <w:t xml:space="preserve">Da </w:t>
      </w:r>
      <w:proofErr w:type="spellStart"/>
      <w:r w:rsidR="00BC4B24" w:rsidRPr="005D6D49">
        <w:rPr>
          <w:b/>
        </w:rPr>
        <w:t>Costa</w:t>
      </w:r>
      <w:proofErr w:type="spellEnd"/>
      <w:r w:rsidRPr="005D6D49">
        <w:t xml:space="preserve"> </w:t>
      </w:r>
      <w:r w:rsidRPr="005D6D49">
        <w:rPr>
          <w:shd w:val="clear" w:color="auto" w:fill="FFFFFF"/>
        </w:rPr>
        <w:t xml:space="preserve">en </w:t>
      </w:r>
      <w:proofErr w:type="spellStart"/>
      <w:r w:rsidRPr="005D6D49">
        <w:rPr>
          <w:shd w:val="clear" w:color="auto" w:fill="FFFFFF"/>
        </w:rPr>
        <w:t>Schaake</w:t>
      </w:r>
      <w:proofErr w:type="spellEnd"/>
      <w:r w:rsidRPr="005D6D49">
        <w:rPr>
          <w:shd w:val="clear" w:color="auto" w:fill="FFFFFF"/>
        </w:rPr>
        <w:t xml:space="preserve"> i in. przeciwko </w:t>
      </w:r>
      <w:proofErr w:type="spellStart"/>
      <w:r w:rsidRPr="005D6D49">
        <w:rPr>
          <w:shd w:val="clear" w:color="auto" w:fill="FFFFFF"/>
        </w:rPr>
        <w:t>Administration</w:t>
      </w:r>
      <w:proofErr w:type="spellEnd"/>
      <w:r w:rsidRPr="005D6D49">
        <w:rPr>
          <w:shd w:val="clear" w:color="auto" w:fill="FFFFFF"/>
        </w:rPr>
        <w:t xml:space="preserve"> </w:t>
      </w:r>
      <w:proofErr w:type="spellStart"/>
      <w:r w:rsidRPr="005D6D49">
        <w:rPr>
          <w:shd w:val="clear" w:color="auto" w:fill="FFFFFF"/>
        </w:rPr>
        <w:t>fiscale</w:t>
      </w:r>
      <w:proofErr w:type="spellEnd"/>
      <w:r w:rsidRPr="005D6D49">
        <w:rPr>
          <w:shd w:val="clear" w:color="auto" w:fill="FFFFFF"/>
        </w:rPr>
        <w:t xml:space="preserve"> </w:t>
      </w:r>
      <w:proofErr w:type="spellStart"/>
      <w:r w:rsidRPr="005D6D49">
        <w:rPr>
          <w:shd w:val="clear" w:color="auto" w:fill="FFFFFF"/>
        </w:rPr>
        <w:t>néerlandaise</w:t>
      </w:r>
      <w:proofErr w:type="spellEnd"/>
    </w:p>
    <w:p w:rsidR="00BC4B24" w:rsidRPr="005D6D49" w:rsidRDefault="001A288E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5D6D49">
        <w:t xml:space="preserve">314/85 </w:t>
      </w:r>
      <w:r w:rsidR="00BC4B24" w:rsidRPr="005D6D49">
        <w:rPr>
          <w:b/>
        </w:rPr>
        <w:t>Foto-</w:t>
      </w:r>
      <w:r w:rsidR="006900AE" w:rsidRPr="005D6D49">
        <w:rPr>
          <w:b/>
        </w:rPr>
        <w:t>F</w:t>
      </w:r>
      <w:r w:rsidR="00BC4B24" w:rsidRPr="005D6D49">
        <w:rPr>
          <w:b/>
        </w:rPr>
        <w:t>rost</w:t>
      </w:r>
      <w:r w:rsidR="006900AE" w:rsidRPr="005D6D49">
        <w:t xml:space="preserve"> przeciwko </w:t>
      </w:r>
      <w:proofErr w:type="spellStart"/>
      <w:r w:rsidR="006900AE" w:rsidRPr="005D6D49">
        <w:rPr>
          <w:bCs/>
        </w:rPr>
        <w:t>Hauptzollamt</w:t>
      </w:r>
      <w:proofErr w:type="spellEnd"/>
      <w:r w:rsidR="006900AE" w:rsidRPr="005D6D49">
        <w:rPr>
          <w:bCs/>
        </w:rPr>
        <w:t xml:space="preserve"> </w:t>
      </w:r>
      <w:proofErr w:type="spellStart"/>
      <w:r w:rsidR="006900AE" w:rsidRPr="005D6D49">
        <w:rPr>
          <w:bCs/>
        </w:rPr>
        <w:t>Lübeck</w:t>
      </w:r>
      <w:r w:rsidR="006900AE" w:rsidRPr="005D6D49">
        <w:rPr>
          <w:bCs/>
        </w:rPr>
        <w:noBreakHyphen/>
        <w:t>Ost</w:t>
      </w:r>
      <w:proofErr w:type="spellEnd"/>
    </w:p>
    <w:p w:rsidR="00BC4B24" w:rsidRPr="00106E99" w:rsidRDefault="006900AE" w:rsidP="00FA010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lang w:val="en-GB"/>
        </w:rPr>
      </w:pPr>
      <w:r w:rsidRPr="00106E99">
        <w:rPr>
          <w:lang w:val="en-GB"/>
        </w:rPr>
        <w:t xml:space="preserve">C-407/98 Katarina </w:t>
      </w:r>
      <w:proofErr w:type="spellStart"/>
      <w:r w:rsidR="00BC4B24" w:rsidRPr="00106E99">
        <w:rPr>
          <w:b/>
          <w:lang w:val="en-GB"/>
        </w:rPr>
        <w:t>Abrahamsson</w:t>
      </w:r>
      <w:proofErr w:type="spellEnd"/>
      <w:r w:rsidRPr="00106E99">
        <w:rPr>
          <w:lang w:val="en-GB"/>
        </w:rPr>
        <w:t xml:space="preserve"> </w:t>
      </w:r>
      <w:proofErr w:type="spellStart"/>
      <w:r w:rsidRPr="00106E99">
        <w:rPr>
          <w:lang w:val="en-GB"/>
        </w:rPr>
        <w:t>i</w:t>
      </w:r>
      <w:proofErr w:type="spellEnd"/>
      <w:r w:rsidRPr="00106E99">
        <w:rPr>
          <w:lang w:val="en-GB"/>
        </w:rPr>
        <w:t xml:space="preserve"> Leif Anderson </w:t>
      </w:r>
      <w:proofErr w:type="spellStart"/>
      <w:r w:rsidRPr="00106E99">
        <w:rPr>
          <w:rStyle w:val="Uwydatnienie"/>
          <w:bCs/>
          <w:i w:val="0"/>
          <w:iCs w:val="0"/>
          <w:shd w:val="clear" w:color="auto" w:fill="FFFFFF"/>
          <w:lang w:val="en-GB"/>
        </w:rPr>
        <w:t>Elisabet</w:t>
      </w:r>
      <w:proofErr w:type="spellEnd"/>
      <w:r w:rsidRPr="00106E99">
        <w:rPr>
          <w:shd w:val="clear" w:color="auto" w:fill="FFFFFF"/>
          <w:lang w:val="en-GB"/>
        </w:rPr>
        <w:t> </w:t>
      </w:r>
      <w:proofErr w:type="spellStart"/>
      <w:r w:rsidRPr="00106E99">
        <w:rPr>
          <w:shd w:val="clear" w:color="auto" w:fill="FFFFFF"/>
          <w:lang w:val="en-GB"/>
        </w:rPr>
        <w:t>Fogelqvist</w:t>
      </w:r>
      <w:proofErr w:type="spellEnd"/>
    </w:p>
    <w:p w:rsidR="006C3597" w:rsidRPr="006C3597" w:rsidRDefault="006C3597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C3597">
        <w:t xml:space="preserve">C-402/05 P </w:t>
      </w:r>
      <w:proofErr w:type="spellStart"/>
      <w:r w:rsidRPr="006C3597">
        <w:rPr>
          <w:bCs/>
          <w:shd w:val="clear" w:color="auto" w:fill="FFFFFF"/>
        </w:rPr>
        <w:t>Yassin</w:t>
      </w:r>
      <w:proofErr w:type="spellEnd"/>
      <w:r w:rsidRPr="006C3597">
        <w:rPr>
          <w:bCs/>
          <w:shd w:val="clear" w:color="auto" w:fill="FFFFFF"/>
        </w:rPr>
        <w:t xml:space="preserve"> Abdullah </w:t>
      </w:r>
      <w:r w:rsidRPr="006C3597">
        <w:rPr>
          <w:b/>
          <w:bCs/>
          <w:shd w:val="clear" w:color="auto" w:fill="FFFFFF"/>
        </w:rPr>
        <w:t>Kadi</w:t>
      </w:r>
      <w:r w:rsidRPr="006C3597">
        <w:rPr>
          <w:bCs/>
          <w:shd w:val="clear" w:color="auto" w:fill="FFFFFF"/>
        </w:rPr>
        <w:t xml:space="preserve"> i Al </w:t>
      </w:r>
      <w:proofErr w:type="spellStart"/>
      <w:r w:rsidRPr="006C3597">
        <w:rPr>
          <w:bCs/>
          <w:shd w:val="clear" w:color="auto" w:fill="FFFFFF"/>
        </w:rPr>
        <w:t>Barakaat</w:t>
      </w:r>
      <w:proofErr w:type="spellEnd"/>
      <w:r w:rsidRPr="006C3597">
        <w:rPr>
          <w:bCs/>
          <w:shd w:val="clear" w:color="auto" w:fill="FFFFFF"/>
        </w:rPr>
        <w:t xml:space="preserve"> International </w:t>
      </w:r>
      <w:proofErr w:type="spellStart"/>
      <w:r w:rsidRPr="006C3597">
        <w:rPr>
          <w:bCs/>
          <w:shd w:val="clear" w:color="auto" w:fill="FFFFFF"/>
        </w:rPr>
        <w:t>Foundation</w:t>
      </w:r>
      <w:proofErr w:type="spellEnd"/>
      <w:r w:rsidRPr="006C3597">
        <w:rPr>
          <w:bCs/>
          <w:shd w:val="clear" w:color="auto" w:fill="FFFFFF"/>
        </w:rPr>
        <w:t xml:space="preserve"> przeciwko Radzie i Komisji</w:t>
      </w:r>
    </w:p>
    <w:p w:rsidR="00BC4B24" w:rsidRPr="006C3597" w:rsidRDefault="00F80742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6C3597">
        <w:t>C-441/</w:t>
      </w:r>
      <w:r w:rsidR="005D6D49" w:rsidRPr="006C3597">
        <w:t xml:space="preserve">17 R </w:t>
      </w:r>
      <w:r w:rsidR="005D6D49" w:rsidRPr="006C3597">
        <w:rPr>
          <w:bCs/>
          <w:shd w:val="clear" w:color="auto" w:fill="FFFFFF"/>
        </w:rPr>
        <w:t>Komisja Europejska przeciwko Rzeczypospolitej Polskiej (</w:t>
      </w:r>
      <w:r w:rsidR="005D6D49" w:rsidRPr="006C3597">
        <w:rPr>
          <w:b/>
        </w:rPr>
        <w:t>p</w:t>
      </w:r>
      <w:r w:rsidR="00BC4B24" w:rsidRPr="006C3597">
        <w:rPr>
          <w:b/>
        </w:rPr>
        <w:t>ostanowienie w sprawie Puszczy Białowieskiej</w:t>
      </w:r>
      <w:r w:rsidR="005D6D49" w:rsidRPr="006C3597">
        <w:t>)</w:t>
      </w:r>
    </w:p>
    <w:p w:rsidR="00FA010A" w:rsidRPr="005D6D49" w:rsidRDefault="005D6D49" w:rsidP="005D6D49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5D6D49">
        <w:t xml:space="preserve">C-64/16 </w:t>
      </w:r>
      <w:proofErr w:type="spellStart"/>
      <w:r w:rsidRPr="005D6D49">
        <w:rPr>
          <w:shd w:val="clear" w:color="auto" w:fill="FFFFFF"/>
        </w:rPr>
        <w:t>Associação</w:t>
      </w:r>
      <w:proofErr w:type="spellEnd"/>
      <w:r w:rsidRPr="005D6D49">
        <w:rPr>
          <w:shd w:val="clear" w:color="auto" w:fill="FFFFFF"/>
        </w:rPr>
        <w:t xml:space="preserve"> </w:t>
      </w:r>
      <w:proofErr w:type="spellStart"/>
      <w:r w:rsidRPr="005D6D49">
        <w:rPr>
          <w:shd w:val="clear" w:color="auto" w:fill="FFFFFF"/>
        </w:rPr>
        <w:t>Sindical</w:t>
      </w:r>
      <w:proofErr w:type="spellEnd"/>
      <w:r w:rsidRPr="005D6D49">
        <w:rPr>
          <w:shd w:val="clear" w:color="auto" w:fill="FFFFFF"/>
        </w:rPr>
        <w:t xml:space="preserve"> </w:t>
      </w:r>
      <w:proofErr w:type="spellStart"/>
      <w:r w:rsidRPr="005D6D49">
        <w:rPr>
          <w:shd w:val="clear" w:color="auto" w:fill="FFFFFF"/>
        </w:rPr>
        <w:t>dos</w:t>
      </w:r>
      <w:proofErr w:type="spellEnd"/>
      <w:r w:rsidRPr="005D6D49">
        <w:rPr>
          <w:shd w:val="clear" w:color="auto" w:fill="FFFFFF"/>
        </w:rPr>
        <w:t xml:space="preserve"> </w:t>
      </w:r>
      <w:proofErr w:type="spellStart"/>
      <w:r w:rsidRPr="005D6D49">
        <w:rPr>
          <w:shd w:val="clear" w:color="auto" w:fill="FFFFFF"/>
        </w:rPr>
        <w:t>Juízes</w:t>
      </w:r>
      <w:proofErr w:type="spellEnd"/>
      <w:r w:rsidRPr="005D6D49">
        <w:rPr>
          <w:shd w:val="clear" w:color="auto" w:fill="FFFFFF"/>
        </w:rPr>
        <w:t xml:space="preserve"> </w:t>
      </w:r>
      <w:proofErr w:type="spellStart"/>
      <w:r w:rsidRPr="005D6D49">
        <w:rPr>
          <w:shd w:val="clear" w:color="auto" w:fill="FFFFFF"/>
        </w:rPr>
        <w:t>Portugueses</w:t>
      </w:r>
      <w:proofErr w:type="spellEnd"/>
      <w:r w:rsidRPr="005D6D49">
        <w:rPr>
          <w:shd w:val="clear" w:color="auto" w:fill="FFFFFF"/>
        </w:rPr>
        <w:t xml:space="preserve"> przeciwko </w:t>
      </w:r>
      <w:proofErr w:type="spellStart"/>
      <w:r w:rsidRPr="005D6D49">
        <w:rPr>
          <w:shd w:val="clear" w:color="auto" w:fill="FFFFFF"/>
        </w:rPr>
        <w:t>Tribunal</w:t>
      </w:r>
      <w:proofErr w:type="spellEnd"/>
      <w:r w:rsidRPr="005D6D49">
        <w:rPr>
          <w:shd w:val="clear" w:color="auto" w:fill="FFFFFF"/>
        </w:rPr>
        <w:t xml:space="preserve"> de </w:t>
      </w:r>
      <w:proofErr w:type="spellStart"/>
      <w:r w:rsidRPr="005D6D49">
        <w:rPr>
          <w:shd w:val="clear" w:color="auto" w:fill="FFFFFF"/>
        </w:rPr>
        <w:t>Contas</w:t>
      </w:r>
      <w:proofErr w:type="spellEnd"/>
      <w:r w:rsidRPr="005D6D49">
        <w:t xml:space="preserve"> (</w:t>
      </w:r>
      <w:r w:rsidRPr="005D6D49">
        <w:rPr>
          <w:b/>
        </w:rPr>
        <w:t>s</w:t>
      </w:r>
      <w:r w:rsidR="00FA010A" w:rsidRPr="005D6D49">
        <w:rPr>
          <w:b/>
        </w:rPr>
        <w:t>prawa sędziów portugalskich</w:t>
      </w:r>
      <w:r w:rsidRPr="005D6D49">
        <w:t>)</w:t>
      </w:r>
    </w:p>
    <w:p w:rsidR="00FA010A" w:rsidRDefault="005D6D49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5D6D49">
        <w:t xml:space="preserve">C-216/18 PPU </w:t>
      </w:r>
      <w:r w:rsidR="00FA010A" w:rsidRPr="002E3554">
        <w:rPr>
          <w:b/>
        </w:rPr>
        <w:t xml:space="preserve">LM </w:t>
      </w:r>
      <w:r w:rsidR="00FA010A" w:rsidRPr="005D6D49">
        <w:t>(</w:t>
      </w:r>
      <w:r w:rsidR="00FA010A" w:rsidRPr="005D6D49">
        <w:rPr>
          <w:b/>
        </w:rPr>
        <w:t>Celmer</w:t>
      </w:r>
      <w:r w:rsidR="00FA010A" w:rsidRPr="005D6D49">
        <w:t>)</w:t>
      </w:r>
    </w:p>
    <w:p w:rsidR="00DE2FC0" w:rsidRPr="00DE2FC0" w:rsidRDefault="00DE2FC0" w:rsidP="00FA010A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DE2FC0">
        <w:rPr>
          <w:color w:val="000000"/>
        </w:rPr>
        <w:t>C</w:t>
      </w:r>
      <w:r w:rsidRPr="00DE2FC0">
        <w:rPr>
          <w:color w:val="000000"/>
        </w:rPr>
        <w:noBreakHyphen/>
        <w:t>791/19</w:t>
      </w:r>
      <w:r w:rsidRPr="00DE2FC0">
        <w:rPr>
          <w:bCs/>
          <w:shd w:val="clear" w:color="auto" w:fill="FFFFFF"/>
        </w:rPr>
        <w:t xml:space="preserve"> </w:t>
      </w:r>
      <w:r w:rsidRPr="006C3597">
        <w:rPr>
          <w:bCs/>
          <w:shd w:val="clear" w:color="auto" w:fill="FFFFFF"/>
        </w:rPr>
        <w:t>Komisja Europejska przeciwko Rzeczypospolitej Polskiej</w:t>
      </w:r>
      <w:r w:rsidRPr="00DE2FC0">
        <w:rPr>
          <w:rFonts w:ascii="Arial" w:hAnsi="Arial" w:cs="Arial"/>
          <w:color w:val="000000"/>
          <w:sz w:val="12"/>
          <w:szCs w:val="12"/>
        </w:rPr>
        <w:t xml:space="preserve"> </w:t>
      </w:r>
      <w:r w:rsidRPr="00DE2FC0">
        <w:rPr>
          <w:color w:val="000000"/>
        </w:rPr>
        <w:t>(</w:t>
      </w:r>
      <w:r w:rsidRPr="00DE2FC0">
        <w:rPr>
          <w:b/>
          <w:color w:val="000000"/>
        </w:rPr>
        <w:t>system odpowiedzialności dyscyplinarnej sędziów; niezawisłość sędziowska, skuteczna ochrona prawna w dziedzinach objętych prawem Unii</w:t>
      </w:r>
      <w:r w:rsidRPr="00DE2FC0">
        <w:rPr>
          <w:color w:val="000000"/>
        </w:rPr>
        <w:t>)</w:t>
      </w:r>
    </w:p>
    <w:p w:rsidR="004411D8" w:rsidRDefault="005D6D49" w:rsidP="004411D8">
      <w:pPr>
        <w:pStyle w:val="Akapitzlist"/>
        <w:numPr>
          <w:ilvl w:val="0"/>
          <w:numId w:val="7"/>
        </w:numPr>
        <w:spacing w:after="120" w:line="360" w:lineRule="auto"/>
        <w:jc w:val="both"/>
      </w:pPr>
      <w:r>
        <w:t xml:space="preserve">Wyrok Trybunału Konstytucyjnego sygn. akt </w:t>
      </w:r>
      <w:r w:rsidR="004411D8" w:rsidRPr="005D6D49">
        <w:t>K 18/04</w:t>
      </w:r>
    </w:p>
    <w:p w:rsidR="00106E99" w:rsidRDefault="005D6D49" w:rsidP="00106E99">
      <w:pPr>
        <w:pStyle w:val="Akapitzlist"/>
        <w:numPr>
          <w:ilvl w:val="0"/>
          <w:numId w:val="7"/>
        </w:numPr>
        <w:spacing w:after="120" w:line="360" w:lineRule="auto"/>
        <w:jc w:val="both"/>
      </w:pPr>
      <w:r>
        <w:t xml:space="preserve">Wyroki Federalnego Trybunału Konstytucyjnego w sprawach </w:t>
      </w:r>
      <w:proofErr w:type="spellStart"/>
      <w:r w:rsidRPr="00D62B5B">
        <w:rPr>
          <w:i/>
        </w:rPr>
        <w:t>Solange</w:t>
      </w:r>
      <w:proofErr w:type="spellEnd"/>
      <w:r w:rsidRPr="00D62B5B">
        <w:rPr>
          <w:i/>
        </w:rPr>
        <w:t xml:space="preserve"> I </w:t>
      </w:r>
      <w:r>
        <w:t xml:space="preserve">oraz </w:t>
      </w:r>
      <w:proofErr w:type="spellStart"/>
      <w:r w:rsidRPr="00D62B5B">
        <w:rPr>
          <w:i/>
        </w:rPr>
        <w:t>Solange</w:t>
      </w:r>
      <w:proofErr w:type="spellEnd"/>
      <w:r w:rsidRPr="00D62B5B">
        <w:rPr>
          <w:i/>
        </w:rPr>
        <w:t xml:space="preserve"> II</w:t>
      </w:r>
      <w:bookmarkStart w:id="0" w:name="_GoBack"/>
      <w:bookmarkEnd w:id="0"/>
    </w:p>
    <w:p w:rsidR="00106E99" w:rsidRDefault="00106E99" w:rsidP="00106E99">
      <w:pPr>
        <w:spacing w:after="120" w:line="360" w:lineRule="auto"/>
        <w:jc w:val="both"/>
      </w:pPr>
    </w:p>
    <w:p w:rsidR="00106E99" w:rsidRDefault="00106E99" w:rsidP="00106E99">
      <w:pPr>
        <w:spacing w:after="120" w:line="360" w:lineRule="auto"/>
        <w:jc w:val="both"/>
      </w:pPr>
      <w:r w:rsidRPr="00106E99">
        <w:rPr>
          <w:b/>
        </w:rPr>
        <w:t>LITERATURA</w:t>
      </w:r>
      <w:r>
        <w:t>:</w:t>
      </w:r>
    </w:p>
    <w:p w:rsidR="00106E99" w:rsidRDefault="00106E99" w:rsidP="00106E99">
      <w:pPr>
        <w:spacing w:after="120" w:line="360" w:lineRule="auto"/>
        <w:jc w:val="both"/>
      </w:pPr>
      <w:r>
        <w:t xml:space="preserve">A. Zawidzka-Łojek, A. Łazowski (red.), </w:t>
      </w:r>
      <w:r w:rsidRPr="0015320A">
        <w:rPr>
          <w:i/>
        </w:rPr>
        <w:t>Podręcznik prawa Unii Europejskiej</w:t>
      </w:r>
      <w:r>
        <w:t>, wyd. II, Warszawa 2018</w:t>
      </w:r>
    </w:p>
    <w:p w:rsidR="00106E99" w:rsidRDefault="00106E99" w:rsidP="00106E99">
      <w:pPr>
        <w:spacing w:after="120" w:line="360" w:lineRule="auto"/>
        <w:jc w:val="both"/>
      </w:pPr>
      <w:r>
        <w:t xml:space="preserve">M. M. Kenig-Witkowska (red.), A. Łazowski, R. </w:t>
      </w:r>
      <w:proofErr w:type="spellStart"/>
      <w:r>
        <w:t>Ostrihansky</w:t>
      </w:r>
      <w:proofErr w:type="spellEnd"/>
      <w:r>
        <w:t xml:space="preserve">, </w:t>
      </w:r>
      <w:r w:rsidRPr="0015320A">
        <w:rPr>
          <w:i/>
        </w:rPr>
        <w:t>Prawo instytucjonalne Unii Europejskiej</w:t>
      </w:r>
      <w:r>
        <w:t>, wyd. VII, Warszawa 2017</w:t>
      </w:r>
    </w:p>
    <w:p w:rsidR="0087063D" w:rsidRDefault="0087063D" w:rsidP="00106E99">
      <w:pPr>
        <w:spacing w:after="120" w:line="360" w:lineRule="auto"/>
        <w:jc w:val="both"/>
      </w:pPr>
      <w:r>
        <w:t xml:space="preserve">A. Łazowski, A. Zawidzka-Łojek (red.), </w:t>
      </w:r>
      <w:r w:rsidRPr="0015320A">
        <w:rPr>
          <w:i/>
        </w:rPr>
        <w:t>Instytucje i porządek prawny Unii Europejskiej</w:t>
      </w:r>
      <w:r>
        <w:t>, wyd. II, Warszawa 2015</w:t>
      </w:r>
    </w:p>
    <w:p w:rsidR="00106E99" w:rsidRPr="0015320A" w:rsidRDefault="00106E99" w:rsidP="00106E99">
      <w:pPr>
        <w:spacing w:after="120" w:line="360" w:lineRule="auto"/>
        <w:jc w:val="both"/>
      </w:pPr>
      <w:r>
        <w:t xml:space="preserve">P. Bogdanowicz, Pojęcie, treść i ochrona praworządności w prawie Unii Europejskiej, [w:] J. </w:t>
      </w:r>
      <w:proofErr w:type="spellStart"/>
      <w:r>
        <w:t>Barcz</w:t>
      </w:r>
      <w:proofErr w:type="spellEnd"/>
      <w:r>
        <w:t xml:space="preserve">, A. Zawidzka-Łojek (red.), </w:t>
      </w:r>
      <w:r w:rsidRPr="0015320A">
        <w:rPr>
          <w:i/>
        </w:rPr>
        <w:t>Wniosek Komisji Europejskiej w sprawie wszczęcia w stosunku do Polski procedury art. 7 TUE</w:t>
      </w:r>
      <w:r>
        <w:t>, Warszawa 2017</w:t>
      </w:r>
    </w:p>
    <w:p w:rsidR="00106E99" w:rsidRPr="0015320A" w:rsidRDefault="00106E99" w:rsidP="00106E99">
      <w:pPr>
        <w:spacing w:after="120" w:line="360" w:lineRule="auto"/>
        <w:jc w:val="both"/>
      </w:pPr>
      <w:r>
        <w:t xml:space="preserve">M. Taborowski, </w:t>
      </w:r>
      <w:r w:rsidR="00C32020" w:rsidRPr="00C32020">
        <w:rPr>
          <w:color w:val="333333"/>
          <w:shd w:val="clear" w:color="auto" w:fill="FDFDFD"/>
        </w:rPr>
        <w:t xml:space="preserve">Naruszenie elementów zasady państwa prawa (art. 2 TUE) jako ograniczenie zasady wzajemnego zaufania w prawie Unii Europejskiej (w świetle wyroku </w:t>
      </w:r>
      <w:r w:rsidR="00C32020" w:rsidRPr="00C32020">
        <w:rPr>
          <w:i/>
          <w:color w:val="333333"/>
          <w:shd w:val="clear" w:color="auto" w:fill="FDFDFD"/>
        </w:rPr>
        <w:t>LM</w:t>
      </w:r>
      <w:r w:rsidR="0049352F">
        <w:rPr>
          <w:color w:val="333333"/>
          <w:shd w:val="clear" w:color="auto" w:fill="FDFDFD"/>
        </w:rPr>
        <w:t>)</w:t>
      </w:r>
      <w:r w:rsidRPr="00C32020">
        <w:t xml:space="preserve"> [</w:t>
      </w:r>
      <w:r>
        <w:t xml:space="preserve">w:] J. </w:t>
      </w:r>
      <w:proofErr w:type="spellStart"/>
      <w:r>
        <w:t>Barcz</w:t>
      </w:r>
      <w:proofErr w:type="spellEnd"/>
      <w:r>
        <w:t xml:space="preserve">, A. Zawidzka-Łojek (red.), </w:t>
      </w:r>
      <w:r w:rsidR="00C32020" w:rsidRPr="00C32020">
        <w:rPr>
          <w:i/>
        </w:rPr>
        <w:t>Sądowe mechanizmy ochrony praworządności w Polsce w świetle najnowszego orzecznictwa Trybunału Sprawiedliwości UE</w:t>
      </w:r>
      <w:r w:rsidR="00C32020">
        <w:t>, Warszawa 2018</w:t>
      </w:r>
    </w:p>
    <w:sectPr w:rsidR="00106E99" w:rsidRPr="0015320A" w:rsidSect="007A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64A222" w15:done="0"/>
  <w15:commentEx w15:paraId="28ACDC27" w15:done="0"/>
  <w15:commentEx w15:paraId="0A8689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64A222" w16cid:durableId="1F42FA41"/>
  <w16cid:commentId w16cid:paraId="28ACDC27" w16cid:durableId="1F42FAD5"/>
  <w16cid:commentId w16cid:paraId="0A8689EE" w16cid:durableId="1F42FB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FF" w:rsidRDefault="009B41FF" w:rsidP="00C21F61">
      <w:r>
        <w:separator/>
      </w:r>
    </w:p>
  </w:endnote>
  <w:endnote w:type="continuationSeparator" w:id="0">
    <w:p w:rsidR="009B41FF" w:rsidRDefault="009B41FF" w:rsidP="00C2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FF" w:rsidRDefault="009B41FF" w:rsidP="00C21F61">
      <w:r>
        <w:separator/>
      </w:r>
    </w:p>
  </w:footnote>
  <w:footnote w:type="continuationSeparator" w:id="0">
    <w:p w:rsidR="009B41FF" w:rsidRDefault="009B41FF" w:rsidP="00C21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E0176D"/>
    <w:multiLevelType w:val="hybridMultilevel"/>
    <w:tmpl w:val="1302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52A"/>
    <w:multiLevelType w:val="hybridMultilevel"/>
    <w:tmpl w:val="BDCC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2B1D"/>
    <w:multiLevelType w:val="hybridMultilevel"/>
    <w:tmpl w:val="49EC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5EFA"/>
    <w:multiLevelType w:val="hybridMultilevel"/>
    <w:tmpl w:val="A7A2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77708"/>
    <w:multiLevelType w:val="hybridMultilevel"/>
    <w:tmpl w:val="57CE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2FEE"/>
    <w:multiLevelType w:val="hybridMultilevel"/>
    <w:tmpl w:val="DE20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porzezynska">
    <w15:presenceInfo w15:providerId="None" w15:userId="mporzezyn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2F1F"/>
    <w:rsid w:val="000003EA"/>
    <w:rsid w:val="00021D6E"/>
    <w:rsid w:val="00022FB5"/>
    <w:rsid w:val="00046796"/>
    <w:rsid w:val="000627E9"/>
    <w:rsid w:val="00067228"/>
    <w:rsid w:val="00080046"/>
    <w:rsid w:val="000B1501"/>
    <w:rsid w:val="000B445A"/>
    <w:rsid w:val="000C6ACC"/>
    <w:rsid w:val="000D6449"/>
    <w:rsid w:val="000E2EAD"/>
    <w:rsid w:val="000F3A28"/>
    <w:rsid w:val="000F58A2"/>
    <w:rsid w:val="00102F1F"/>
    <w:rsid w:val="00106E99"/>
    <w:rsid w:val="00116382"/>
    <w:rsid w:val="00134322"/>
    <w:rsid w:val="00183A9E"/>
    <w:rsid w:val="00184F5E"/>
    <w:rsid w:val="00186660"/>
    <w:rsid w:val="00195066"/>
    <w:rsid w:val="001A288E"/>
    <w:rsid w:val="001A3FB4"/>
    <w:rsid w:val="001C0D60"/>
    <w:rsid w:val="001D68DA"/>
    <w:rsid w:val="001E17A1"/>
    <w:rsid w:val="00204991"/>
    <w:rsid w:val="00232398"/>
    <w:rsid w:val="00260ADA"/>
    <w:rsid w:val="00281FCD"/>
    <w:rsid w:val="002828B9"/>
    <w:rsid w:val="00287EF9"/>
    <w:rsid w:val="002B3102"/>
    <w:rsid w:val="002C7001"/>
    <w:rsid w:val="002E3265"/>
    <w:rsid w:val="002E3554"/>
    <w:rsid w:val="00325C5D"/>
    <w:rsid w:val="003440DE"/>
    <w:rsid w:val="00373DBC"/>
    <w:rsid w:val="003755FA"/>
    <w:rsid w:val="003A0E46"/>
    <w:rsid w:val="003A4363"/>
    <w:rsid w:val="003B57ED"/>
    <w:rsid w:val="003D2F05"/>
    <w:rsid w:val="003E72A2"/>
    <w:rsid w:val="003F711D"/>
    <w:rsid w:val="00405D86"/>
    <w:rsid w:val="004411D8"/>
    <w:rsid w:val="00444609"/>
    <w:rsid w:val="00445B71"/>
    <w:rsid w:val="004621A4"/>
    <w:rsid w:val="00463000"/>
    <w:rsid w:val="004670E9"/>
    <w:rsid w:val="00490619"/>
    <w:rsid w:val="0049352F"/>
    <w:rsid w:val="004A0DB5"/>
    <w:rsid w:val="004F0786"/>
    <w:rsid w:val="004F150A"/>
    <w:rsid w:val="004F6461"/>
    <w:rsid w:val="00510C37"/>
    <w:rsid w:val="00512843"/>
    <w:rsid w:val="00525BCD"/>
    <w:rsid w:val="00543C52"/>
    <w:rsid w:val="00546F0A"/>
    <w:rsid w:val="005508DA"/>
    <w:rsid w:val="00552F6C"/>
    <w:rsid w:val="005530CF"/>
    <w:rsid w:val="00564AB9"/>
    <w:rsid w:val="005A5C0B"/>
    <w:rsid w:val="005D393D"/>
    <w:rsid w:val="005D6D49"/>
    <w:rsid w:val="00603FED"/>
    <w:rsid w:val="0063514E"/>
    <w:rsid w:val="006666B0"/>
    <w:rsid w:val="00686E1B"/>
    <w:rsid w:val="006900AE"/>
    <w:rsid w:val="00696923"/>
    <w:rsid w:val="006A2F24"/>
    <w:rsid w:val="006A704C"/>
    <w:rsid w:val="006C3597"/>
    <w:rsid w:val="007025EC"/>
    <w:rsid w:val="00714F9A"/>
    <w:rsid w:val="00720BB4"/>
    <w:rsid w:val="007348A9"/>
    <w:rsid w:val="00740EEB"/>
    <w:rsid w:val="007476BE"/>
    <w:rsid w:val="00754211"/>
    <w:rsid w:val="007806D2"/>
    <w:rsid w:val="007A33E5"/>
    <w:rsid w:val="007A6870"/>
    <w:rsid w:val="007B7930"/>
    <w:rsid w:val="007F501E"/>
    <w:rsid w:val="008211CE"/>
    <w:rsid w:val="008417A1"/>
    <w:rsid w:val="00857F98"/>
    <w:rsid w:val="0087063D"/>
    <w:rsid w:val="008A6D07"/>
    <w:rsid w:val="008C09CF"/>
    <w:rsid w:val="00901E37"/>
    <w:rsid w:val="00917A9B"/>
    <w:rsid w:val="00931738"/>
    <w:rsid w:val="009475DE"/>
    <w:rsid w:val="009667A3"/>
    <w:rsid w:val="0097644A"/>
    <w:rsid w:val="00997AF7"/>
    <w:rsid w:val="009B41FF"/>
    <w:rsid w:val="009C0E37"/>
    <w:rsid w:val="009C33B7"/>
    <w:rsid w:val="009E3FF5"/>
    <w:rsid w:val="00A33283"/>
    <w:rsid w:val="00A41941"/>
    <w:rsid w:val="00A4206E"/>
    <w:rsid w:val="00A47C8D"/>
    <w:rsid w:val="00A90F3A"/>
    <w:rsid w:val="00B35F3E"/>
    <w:rsid w:val="00BC4B24"/>
    <w:rsid w:val="00BD6897"/>
    <w:rsid w:val="00BF2FA0"/>
    <w:rsid w:val="00BF37D0"/>
    <w:rsid w:val="00C21F61"/>
    <w:rsid w:val="00C277DC"/>
    <w:rsid w:val="00C32020"/>
    <w:rsid w:val="00C33488"/>
    <w:rsid w:val="00C61C32"/>
    <w:rsid w:val="00C87AD1"/>
    <w:rsid w:val="00CA31E4"/>
    <w:rsid w:val="00CC19D8"/>
    <w:rsid w:val="00CD27AD"/>
    <w:rsid w:val="00CF1DB0"/>
    <w:rsid w:val="00D0497D"/>
    <w:rsid w:val="00D10FBA"/>
    <w:rsid w:val="00D317FC"/>
    <w:rsid w:val="00D32AE8"/>
    <w:rsid w:val="00D62B5B"/>
    <w:rsid w:val="00D62D95"/>
    <w:rsid w:val="00D67660"/>
    <w:rsid w:val="00D73F73"/>
    <w:rsid w:val="00D86B10"/>
    <w:rsid w:val="00D86E0D"/>
    <w:rsid w:val="00DA0680"/>
    <w:rsid w:val="00DA2FE3"/>
    <w:rsid w:val="00DD78BD"/>
    <w:rsid w:val="00DE2FC0"/>
    <w:rsid w:val="00DF052C"/>
    <w:rsid w:val="00DF1D60"/>
    <w:rsid w:val="00E10D08"/>
    <w:rsid w:val="00E275EF"/>
    <w:rsid w:val="00E57390"/>
    <w:rsid w:val="00E6289A"/>
    <w:rsid w:val="00E85C04"/>
    <w:rsid w:val="00E96C41"/>
    <w:rsid w:val="00EA4406"/>
    <w:rsid w:val="00EC1D07"/>
    <w:rsid w:val="00EE6CF5"/>
    <w:rsid w:val="00EF3314"/>
    <w:rsid w:val="00F11A3F"/>
    <w:rsid w:val="00F17249"/>
    <w:rsid w:val="00F4155F"/>
    <w:rsid w:val="00F42CE7"/>
    <w:rsid w:val="00F446EF"/>
    <w:rsid w:val="00F75205"/>
    <w:rsid w:val="00F80742"/>
    <w:rsid w:val="00F81BF2"/>
    <w:rsid w:val="00FA010A"/>
    <w:rsid w:val="00F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1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F61"/>
    <w:rPr>
      <w:sz w:val="24"/>
      <w:szCs w:val="24"/>
    </w:rPr>
  </w:style>
  <w:style w:type="paragraph" w:styleId="Stopka">
    <w:name w:val="footer"/>
    <w:basedOn w:val="Normalny"/>
    <w:link w:val="StopkaZnak"/>
    <w:rsid w:val="00C21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1F61"/>
    <w:rPr>
      <w:sz w:val="24"/>
      <w:szCs w:val="24"/>
    </w:rPr>
  </w:style>
  <w:style w:type="paragraph" w:styleId="Tekstdymka">
    <w:name w:val="Balloon Text"/>
    <w:basedOn w:val="Normalny"/>
    <w:link w:val="TekstdymkaZnak"/>
    <w:rsid w:val="00C21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1F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B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969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923"/>
  </w:style>
  <w:style w:type="character" w:styleId="Odwoanieprzypisukocowego">
    <w:name w:val="endnote reference"/>
    <w:basedOn w:val="Domylnaczcionkaakapitu"/>
    <w:rsid w:val="0069692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A288E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900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00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00A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0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0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</dc:creator>
  <cp:lastModifiedBy>Ania</cp:lastModifiedBy>
  <cp:revision>3</cp:revision>
  <cp:lastPrinted>2012-03-08T17:19:00Z</cp:lastPrinted>
  <dcterms:created xsi:type="dcterms:W3CDTF">2021-09-26T18:14:00Z</dcterms:created>
  <dcterms:modified xsi:type="dcterms:W3CDTF">2021-09-26T18:19:00Z</dcterms:modified>
</cp:coreProperties>
</file>